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87B" w:rsidRPr="0063000E" w:rsidRDefault="00AA6D4E" w:rsidP="0063000E">
      <w:pPr>
        <w:pStyle w:val="Heading1"/>
        <w:spacing w:before="228"/>
        <w:ind w:left="-270" w:firstLine="0"/>
        <w:jc w:val="center"/>
      </w:pPr>
      <w:r>
        <w:t xml:space="preserve">ESC- </w:t>
      </w:r>
      <w:r w:rsidR="0063000E">
        <w:t xml:space="preserve">AVRUPA DAYANIŞMA PROGRAMI </w:t>
      </w:r>
      <w:r w:rsidR="005B69A4">
        <w:t>KAPSAMINDAKİ</w:t>
      </w:r>
      <w:r w:rsidR="005B69A4">
        <w:rPr>
          <w:spacing w:val="-6"/>
        </w:rPr>
        <w:t xml:space="preserve"> </w:t>
      </w:r>
      <w:r w:rsidR="0063000E">
        <w:rPr>
          <w:spacing w:val="-6"/>
        </w:rPr>
        <w:t xml:space="preserve">LİDER ROLÜ </w:t>
      </w:r>
      <w:r w:rsidR="0063000E">
        <w:t xml:space="preserve">KALİTE SERTİFİKASINA SAHİP </w:t>
      </w:r>
      <w:r w:rsidR="005B69A4">
        <w:t>KURUM</w:t>
      </w:r>
      <w:r w:rsidR="0063000E">
        <w:rPr>
          <w:spacing w:val="-8"/>
        </w:rPr>
        <w:t xml:space="preserve"> VE </w:t>
      </w:r>
      <w:r w:rsidR="005B69A4">
        <w:t>KURULUŞLARA</w:t>
      </w:r>
      <w:r w:rsidR="005B69A4">
        <w:rPr>
          <w:spacing w:val="-11"/>
        </w:rPr>
        <w:t xml:space="preserve"> </w:t>
      </w:r>
      <w:r w:rsidR="005B69A4">
        <w:t>HİBE</w:t>
      </w:r>
      <w:r w:rsidR="005B69A4">
        <w:rPr>
          <w:spacing w:val="-11"/>
        </w:rPr>
        <w:t xml:space="preserve"> </w:t>
      </w:r>
      <w:r w:rsidR="005B69A4">
        <w:t>TAHSİS</w:t>
      </w:r>
      <w:r w:rsidR="005B69A4">
        <w:rPr>
          <w:spacing w:val="-8"/>
        </w:rPr>
        <w:t xml:space="preserve"> </w:t>
      </w:r>
      <w:r w:rsidR="005B69A4">
        <w:t>EDİLMESİNE</w:t>
      </w:r>
      <w:r w:rsidR="005B69A4">
        <w:rPr>
          <w:spacing w:val="-10"/>
        </w:rPr>
        <w:t xml:space="preserve"> </w:t>
      </w:r>
      <w:r w:rsidR="005B69A4">
        <w:t>İLİŞKİN</w:t>
      </w:r>
      <w:r w:rsidR="005B69A4">
        <w:rPr>
          <w:spacing w:val="-11"/>
        </w:rPr>
        <w:t xml:space="preserve"> </w:t>
      </w:r>
      <w:r w:rsidR="005B69A4">
        <w:rPr>
          <w:spacing w:val="-2"/>
        </w:rPr>
        <w:t>KURALLAR</w:t>
      </w:r>
    </w:p>
    <w:p w:rsidR="001C287B" w:rsidRDefault="005B69A4">
      <w:pPr>
        <w:pStyle w:val="BodyText"/>
        <w:spacing w:before="276" w:line="247" w:lineRule="auto"/>
        <w:ind w:left="127"/>
      </w:pPr>
      <w:r>
        <w:t>Bu</w:t>
      </w:r>
      <w:r w:rsidRPr="0063000E">
        <w:t xml:space="preserve"> </w:t>
      </w:r>
      <w:r>
        <w:t>belge,</w:t>
      </w:r>
      <w:r w:rsidRPr="0063000E">
        <w:t xml:space="preserve"> </w:t>
      </w:r>
      <w:r w:rsidR="0063000E">
        <w:t>Avrupa Dayanışma Programı</w:t>
      </w:r>
      <w:r w:rsidRPr="0063000E">
        <w:t xml:space="preserve"> </w:t>
      </w:r>
      <w:r>
        <w:t>Rehberinde</w:t>
      </w:r>
      <w:r w:rsidRPr="0063000E">
        <w:t xml:space="preserve"> </w:t>
      </w:r>
      <w:r>
        <w:t>belirlenen</w:t>
      </w:r>
      <w:r w:rsidRPr="0063000E">
        <w:t xml:space="preserve"> </w:t>
      </w:r>
      <w:r>
        <w:t>çerçeve</w:t>
      </w:r>
      <w:r w:rsidRPr="0063000E">
        <w:t xml:space="preserve"> </w:t>
      </w:r>
      <w:r>
        <w:t>içerisinde,</w:t>
      </w:r>
      <w:r w:rsidRPr="0063000E">
        <w:t xml:space="preserve"> </w:t>
      </w:r>
      <w:r w:rsidR="0063000E" w:rsidRPr="0063000E">
        <w:t xml:space="preserve">lider </w:t>
      </w:r>
      <w:r w:rsidR="0063000E">
        <w:t>rolüne sahip kalite sertifikası</w:t>
      </w:r>
      <w:r w:rsidRPr="0063000E">
        <w:t xml:space="preserve"> </w:t>
      </w:r>
      <w:r>
        <w:t xml:space="preserve">başvuru sahiplerine </w:t>
      </w:r>
      <w:r w:rsidR="0063000E">
        <w:t xml:space="preserve">gönüllülük projelerine (ESC51) başvurmaları durumunda hibe tahsisine </w:t>
      </w:r>
      <w:r>
        <w:t>ilişkin ayrıntılı kuralları tanımlamaktadır.</w:t>
      </w:r>
    </w:p>
    <w:p w:rsidR="001C287B" w:rsidRDefault="001C287B">
      <w:pPr>
        <w:pStyle w:val="BodyText"/>
        <w:spacing w:before="15"/>
      </w:pPr>
    </w:p>
    <w:p w:rsidR="001C287B" w:rsidRDefault="005B69A4">
      <w:pPr>
        <w:pStyle w:val="Heading1"/>
        <w:numPr>
          <w:ilvl w:val="0"/>
          <w:numId w:val="1"/>
        </w:numPr>
        <w:tabs>
          <w:tab w:val="left" w:pos="428"/>
        </w:tabs>
        <w:ind w:left="428" w:hanging="301"/>
      </w:pPr>
      <w:bookmarkStart w:id="0" w:name="1._MEVCUT_BÜTÇE"/>
      <w:bookmarkEnd w:id="0"/>
      <w:r>
        <w:rPr>
          <w:spacing w:val="-2"/>
        </w:rPr>
        <w:t>MEVCUT</w:t>
      </w:r>
      <w:r>
        <w:rPr>
          <w:spacing w:val="-9"/>
        </w:rPr>
        <w:t xml:space="preserve"> </w:t>
      </w:r>
      <w:r>
        <w:rPr>
          <w:spacing w:val="-2"/>
        </w:rPr>
        <w:t>BÜTÇE</w:t>
      </w:r>
    </w:p>
    <w:p w:rsidR="001C287B" w:rsidRDefault="001C287B">
      <w:pPr>
        <w:pStyle w:val="BodyText"/>
        <w:spacing w:before="45"/>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9"/>
        <w:gridCol w:w="6108"/>
      </w:tblGrid>
      <w:tr w:rsidR="001C287B">
        <w:trPr>
          <w:trHeight w:val="849"/>
        </w:trPr>
        <w:tc>
          <w:tcPr>
            <w:tcW w:w="3419" w:type="dxa"/>
            <w:tcBorders>
              <w:right w:val="single" w:sz="8" w:space="0" w:color="000000"/>
            </w:tcBorders>
          </w:tcPr>
          <w:p w:rsidR="001C287B" w:rsidRDefault="0063000E">
            <w:pPr>
              <w:pStyle w:val="TableParagraph"/>
              <w:spacing w:before="229" w:line="237" w:lineRule="auto"/>
              <w:ind w:left="90" w:right="311"/>
              <w:rPr>
                <w:sz w:val="23"/>
              </w:rPr>
            </w:pPr>
            <w:r>
              <w:t>Gönüllülük projeleri (ESC51)</w:t>
            </w:r>
            <w:r w:rsidR="005B69A4">
              <w:rPr>
                <w:spacing w:val="-12"/>
              </w:rPr>
              <w:t xml:space="preserve"> </w:t>
            </w:r>
            <w:r w:rsidR="005B69A4">
              <w:rPr>
                <w:sz w:val="23"/>
              </w:rPr>
              <w:t>tahsis</w:t>
            </w:r>
            <w:r w:rsidR="005B69A4">
              <w:rPr>
                <w:spacing w:val="-12"/>
                <w:sz w:val="23"/>
              </w:rPr>
              <w:t xml:space="preserve"> </w:t>
            </w:r>
            <w:r w:rsidR="005B69A4">
              <w:rPr>
                <w:sz w:val="23"/>
              </w:rPr>
              <w:t>edilebilecek toplam bütçe</w:t>
            </w:r>
          </w:p>
        </w:tc>
        <w:tc>
          <w:tcPr>
            <w:tcW w:w="6108" w:type="dxa"/>
            <w:tcBorders>
              <w:left w:val="single" w:sz="8" w:space="0" w:color="000000"/>
            </w:tcBorders>
          </w:tcPr>
          <w:p w:rsidR="001C287B" w:rsidRDefault="001C287B">
            <w:pPr>
              <w:pStyle w:val="TableParagraph"/>
              <w:spacing w:before="8"/>
              <w:ind w:left="0"/>
              <w:rPr>
                <w:b/>
                <w:sz w:val="23"/>
              </w:rPr>
            </w:pPr>
          </w:p>
          <w:p w:rsidR="001C287B" w:rsidRDefault="0063000E">
            <w:pPr>
              <w:pStyle w:val="TableParagraph"/>
              <w:spacing w:before="1"/>
              <w:ind w:left="167"/>
              <w:rPr>
                <w:sz w:val="23"/>
              </w:rPr>
            </w:pPr>
            <w:r>
              <w:rPr>
                <w:spacing w:val="-4"/>
                <w:sz w:val="23"/>
              </w:rPr>
              <w:t>5.496.027,00 Avro</w:t>
            </w:r>
          </w:p>
        </w:tc>
      </w:tr>
    </w:tbl>
    <w:p w:rsidR="001C287B" w:rsidRDefault="001C287B">
      <w:pPr>
        <w:pStyle w:val="BodyText"/>
        <w:spacing w:before="8"/>
        <w:rPr>
          <w:b/>
        </w:rPr>
      </w:pPr>
    </w:p>
    <w:p w:rsidR="001C287B" w:rsidRDefault="005B69A4">
      <w:pPr>
        <w:pStyle w:val="BodyText"/>
        <w:spacing w:before="1" w:line="242" w:lineRule="auto"/>
        <w:ind w:left="127" w:right="574"/>
      </w:pPr>
      <w:r>
        <w:t>Mevcut</w:t>
      </w:r>
      <w:r>
        <w:rPr>
          <w:spacing w:val="-7"/>
        </w:rPr>
        <w:t xml:space="preserve"> </w:t>
      </w:r>
      <w:r>
        <w:t>bütçeden,</w:t>
      </w:r>
      <w:r>
        <w:rPr>
          <w:spacing w:val="-7"/>
        </w:rPr>
        <w:t xml:space="preserve"> </w:t>
      </w:r>
      <w:r>
        <w:t>aşağıdaki</w:t>
      </w:r>
      <w:r>
        <w:rPr>
          <w:spacing w:val="-7"/>
        </w:rPr>
        <w:t xml:space="preserve"> </w:t>
      </w:r>
      <w:r>
        <w:t>tabloda</w:t>
      </w:r>
      <w:r>
        <w:rPr>
          <w:spacing w:val="-6"/>
        </w:rPr>
        <w:t xml:space="preserve"> </w:t>
      </w:r>
      <w:r>
        <w:t>yer</w:t>
      </w:r>
      <w:r>
        <w:rPr>
          <w:spacing w:val="-5"/>
        </w:rPr>
        <w:t xml:space="preserve"> </w:t>
      </w:r>
      <w:r>
        <w:t>alan</w:t>
      </w:r>
      <w:r>
        <w:rPr>
          <w:spacing w:val="-8"/>
        </w:rPr>
        <w:t xml:space="preserve"> </w:t>
      </w:r>
      <w:r>
        <w:t>hibe</w:t>
      </w:r>
      <w:r>
        <w:rPr>
          <w:spacing w:val="-3"/>
        </w:rPr>
        <w:t xml:space="preserve"> </w:t>
      </w:r>
      <w:r>
        <w:t>tahsis</w:t>
      </w:r>
      <w:r>
        <w:rPr>
          <w:spacing w:val="-6"/>
        </w:rPr>
        <w:t xml:space="preserve"> </w:t>
      </w:r>
      <w:proofErr w:type="gramStart"/>
      <w:r>
        <w:t>kriterlerine</w:t>
      </w:r>
      <w:proofErr w:type="gramEnd"/>
      <w:r>
        <w:t>,</w:t>
      </w:r>
      <w:r>
        <w:rPr>
          <w:spacing w:val="-5"/>
        </w:rPr>
        <w:t xml:space="preserve"> </w:t>
      </w:r>
      <w:r>
        <w:t>en</w:t>
      </w:r>
      <w:r>
        <w:rPr>
          <w:spacing w:val="-8"/>
        </w:rPr>
        <w:t xml:space="preserve"> </w:t>
      </w:r>
      <w:r>
        <w:t>az</w:t>
      </w:r>
      <w:r>
        <w:rPr>
          <w:spacing w:val="-3"/>
        </w:rPr>
        <w:t xml:space="preserve"> </w:t>
      </w:r>
      <w:r>
        <w:t>belirtilen</w:t>
      </w:r>
      <w:r>
        <w:rPr>
          <w:spacing w:val="-7"/>
        </w:rPr>
        <w:t xml:space="preserve"> </w:t>
      </w:r>
      <w:r>
        <w:t>oranlarda hibe tahsis edilecektir.</w:t>
      </w:r>
    </w:p>
    <w:p w:rsidR="001C287B" w:rsidRDefault="001C287B">
      <w:pPr>
        <w:pStyle w:val="BodyText"/>
        <w:spacing w:before="36" w:after="1"/>
        <w:rPr>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6"/>
        <w:gridCol w:w="4975"/>
      </w:tblGrid>
      <w:tr w:rsidR="001C287B">
        <w:trPr>
          <w:trHeight w:val="882"/>
        </w:trPr>
        <w:tc>
          <w:tcPr>
            <w:tcW w:w="4356" w:type="dxa"/>
          </w:tcPr>
          <w:p w:rsidR="001C287B" w:rsidRDefault="005B69A4">
            <w:pPr>
              <w:pStyle w:val="TableParagraph"/>
              <w:spacing w:before="145"/>
              <w:rPr>
                <w:sz w:val="23"/>
              </w:rPr>
            </w:pPr>
            <w:r>
              <w:rPr>
                <w:sz w:val="23"/>
              </w:rPr>
              <w:t>Asgari</w:t>
            </w:r>
            <w:r>
              <w:rPr>
                <w:spacing w:val="-3"/>
                <w:sz w:val="23"/>
              </w:rPr>
              <w:t xml:space="preserve"> </w:t>
            </w:r>
            <w:r>
              <w:rPr>
                <w:spacing w:val="-4"/>
                <w:sz w:val="23"/>
              </w:rPr>
              <w:t>hibe</w:t>
            </w:r>
          </w:p>
        </w:tc>
        <w:tc>
          <w:tcPr>
            <w:tcW w:w="4975" w:type="dxa"/>
          </w:tcPr>
          <w:p w:rsidR="001C287B" w:rsidRDefault="006056CB" w:rsidP="006056CB">
            <w:pPr>
              <w:pStyle w:val="TableParagraph"/>
              <w:spacing w:line="242" w:lineRule="auto"/>
              <w:ind w:left="114"/>
              <w:rPr>
                <w:sz w:val="23"/>
              </w:rPr>
            </w:pPr>
            <w:r>
              <w:rPr>
                <w:sz w:val="23"/>
              </w:rPr>
              <w:t xml:space="preserve">Toplam </w:t>
            </w:r>
            <w:r w:rsidR="005B69A4">
              <w:rPr>
                <w:sz w:val="23"/>
              </w:rPr>
              <w:t>bütçenin</w:t>
            </w:r>
            <w:r w:rsidR="005B69A4">
              <w:rPr>
                <w:spacing w:val="-9"/>
                <w:sz w:val="23"/>
              </w:rPr>
              <w:t xml:space="preserve"> </w:t>
            </w:r>
            <w:r>
              <w:rPr>
                <w:sz w:val="23"/>
              </w:rPr>
              <w:t>en az</w:t>
            </w:r>
            <w:r w:rsidR="005B69A4">
              <w:rPr>
                <w:spacing w:val="26"/>
                <w:sz w:val="23"/>
              </w:rPr>
              <w:t xml:space="preserve"> </w:t>
            </w:r>
            <w:r w:rsidR="005B69A4">
              <w:rPr>
                <w:sz w:val="23"/>
              </w:rPr>
              <w:t>%</w:t>
            </w:r>
            <w:r w:rsidR="005B69A4">
              <w:rPr>
                <w:spacing w:val="-13"/>
                <w:sz w:val="23"/>
              </w:rPr>
              <w:t xml:space="preserve"> </w:t>
            </w:r>
            <w:r>
              <w:rPr>
                <w:sz w:val="23"/>
              </w:rPr>
              <w:t>15'i</w:t>
            </w:r>
            <w:r w:rsidR="00795789">
              <w:rPr>
                <w:sz w:val="23"/>
              </w:rPr>
              <w:t xml:space="preserve"> (824.404 Avro)</w:t>
            </w:r>
          </w:p>
        </w:tc>
      </w:tr>
      <w:tr w:rsidR="001C287B">
        <w:trPr>
          <w:trHeight w:val="883"/>
        </w:trPr>
        <w:tc>
          <w:tcPr>
            <w:tcW w:w="4356" w:type="dxa"/>
          </w:tcPr>
          <w:p w:rsidR="001C287B" w:rsidRDefault="005B69A4">
            <w:pPr>
              <w:pStyle w:val="TableParagraph"/>
              <w:spacing w:before="148" w:line="237" w:lineRule="auto"/>
              <w:rPr>
                <w:sz w:val="23"/>
              </w:rPr>
            </w:pPr>
            <w:r>
              <w:rPr>
                <w:spacing w:val="-2"/>
                <w:sz w:val="23"/>
              </w:rPr>
              <w:t>Nitel</w:t>
            </w:r>
            <w:r>
              <w:rPr>
                <w:spacing w:val="-4"/>
                <w:sz w:val="23"/>
              </w:rPr>
              <w:t xml:space="preserve"> </w:t>
            </w:r>
            <w:r>
              <w:rPr>
                <w:spacing w:val="-2"/>
                <w:sz w:val="23"/>
              </w:rPr>
              <w:t>performans,</w:t>
            </w:r>
            <w:r>
              <w:rPr>
                <w:spacing w:val="-3"/>
                <w:sz w:val="23"/>
              </w:rPr>
              <w:t xml:space="preserve"> </w:t>
            </w:r>
            <w:r>
              <w:rPr>
                <w:spacing w:val="-2"/>
                <w:sz w:val="23"/>
              </w:rPr>
              <w:t>politika</w:t>
            </w:r>
            <w:r>
              <w:rPr>
                <w:spacing w:val="-3"/>
                <w:sz w:val="23"/>
              </w:rPr>
              <w:t xml:space="preserve"> </w:t>
            </w:r>
            <w:r>
              <w:rPr>
                <w:spacing w:val="-2"/>
                <w:sz w:val="23"/>
              </w:rPr>
              <w:t>öncelikleri</w:t>
            </w:r>
            <w:r>
              <w:rPr>
                <w:spacing w:val="-3"/>
                <w:sz w:val="23"/>
              </w:rPr>
              <w:t xml:space="preserve"> </w:t>
            </w:r>
            <w:r>
              <w:rPr>
                <w:spacing w:val="-2"/>
                <w:sz w:val="23"/>
              </w:rPr>
              <w:t xml:space="preserve">ve </w:t>
            </w:r>
            <w:r>
              <w:rPr>
                <w:sz w:val="23"/>
              </w:rPr>
              <w:t>tematik alanlar</w:t>
            </w:r>
          </w:p>
        </w:tc>
        <w:tc>
          <w:tcPr>
            <w:tcW w:w="4975" w:type="dxa"/>
          </w:tcPr>
          <w:p w:rsidR="001C287B" w:rsidRDefault="005B69A4" w:rsidP="00795789">
            <w:pPr>
              <w:pStyle w:val="TableParagraph"/>
              <w:spacing w:before="7" w:line="242" w:lineRule="auto"/>
              <w:ind w:left="114"/>
              <w:rPr>
                <w:sz w:val="23"/>
              </w:rPr>
            </w:pPr>
            <w:proofErr w:type="gramStart"/>
            <w:r>
              <w:rPr>
                <w:sz w:val="23"/>
              </w:rPr>
              <w:t>toplam</w:t>
            </w:r>
            <w:proofErr w:type="gramEnd"/>
            <w:r>
              <w:rPr>
                <w:spacing w:val="-13"/>
                <w:sz w:val="23"/>
              </w:rPr>
              <w:t xml:space="preserve"> </w:t>
            </w:r>
            <w:r>
              <w:rPr>
                <w:sz w:val="23"/>
              </w:rPr>
              <w:t>bütçenin</w:t>
            </w:r>
            <w:r>
              <w:rPr>
                <w:spacing w:val="-13"/>
                <w:sz w:val="23"/>
              </w:rPr>
              <w:t xml:space="preserve"> </w:t>
            </w:r>
            <w:r w:rsidR="006056CB">
              <w:rPr>
                <w:sz w:val="23"/>
              </w:rPr>
              <w:t xml:space="preserve">en az </w:t>
            </w:r>
            <w:r>
              <w:rPr>
                <w:spacing w:val="25"/>
                <w:sz w:val="23"/>
              </w:rPr>
              <w:t xml:space="preserve"> </w:t>
            </w:r>
            <w:r>
              <w:rPr>
                <w:sz w:val="23"/>
              </w:rPr>
              <w:t>%</w:t>
            </w:r>
            <w:r>
              <w:rPr>
                <w:spacing w:val="-13"/>
                <w:sz w:val="23"/>
              </w:rPr>
              <w:t xml:space="preserve"> </w:t>
            </w:r>
            <w:r w:rsidR="00795789">
              <w:rPr>
                <w:sz w:val="23"/>
              </w:rPr>
              <w:t>5</w:t>
            </w:r>
            <w:r w:rsidR="006056CB">
              <w:rPr>
                <w:sz w:val="23"/>
              </w:rPr>
              <w:t>0’i</w:t>
            </w:r>
            <w:r w:rsidR="00795789">
              <w:rPr>
                <w:sz w:val="23"/>
              </w:rPr>
              <w:t xml:space="preserve"> (2.748.014 Avro )</w:t>
            </w:r>
          </w:p>
        </w:tc>
      </w:tr>
      <w:tr w:rsidR="001C287B">
        <w:trPr>
          <w:trHeight w:val="950"/>
        </w:trPr>
        <w:tc>
          <w:tcPr>
            <w:tcW w:w="4356" w:type="dxa"/>
          </w:tcPr>
          <w:p w:rsidR="001C287B" w:rsidRDefault="005B69A4">
            <w:pPr>
              <w:pStyle w:val="TableParagraph"/>
              <w:spacing w:before="143" w:line="237" w:lineRule="auto"/>
              <w:ind w:right="49"/>
              <w:rPr>
                <w:sz w:val="23"/>
              </w:rPr>
            </w:pPr>
            <w:r>
              <w:rPr>
                <w:spacing w:val="-2"/>
                <w:sz w:val="23"/>
              </w:rPr>
              <w:t>İstisnai</w:t>
            </w:r>
            <w:r>
              <w:rPr>
                <w:spacing w:val="-3"/>
                <w:sz w:val="23"/>
              </w:rPr>
              <w:t xml:space="preserve"> </w:t>
            </w:r>
            <w:r>
              <w:rPr>
                <w:spacing w:val="-2"/>
                <w:sz w:val="23"/>
              </w:rPr>
              <w:t>masraflar</w:t>
            </w:r>
            <w:r>
              <w:rPr>
                <w:spacing w:val="-8"/>
                <w:sz w:val="23"/>
              </w:rPr>
              <w:t xml:space="preserve"> </w:t>
            </w:r>
            <w:r>
              <w:rPr>
                <w:spacing w:val="-2"/>
                <w:sz w:val="23"/>
              </w:rPr>
              <w:t>ve</w:t>
            </w:r>
            <w:r>
              <w:rPr>
                <w:spacing w:val="-5"/>
                <w:sz w:val="23"/>
              </w:rPr>
              <w:t xml:space="preserve"> </w:t>
            </w:r>
            <w:r>
              <w:rPr>
                <w:spacing w:val="-2"/>
                <w:sz w:val="23"/>
              </w:rPr>
              <w:t>Katılımcılar</w:t>
            </w:r>
            <w:r>
              <w:rPr>
                <w:spacing w:val="-3"/>
                <w:sz w:val="23"/>
              </w:rPr>
              <w:t xml:space="preserve"> </w:t>
            </w:r>
            <w:r>
              <w:rPr>
                <w:spacing w:val="-2"/>
                <w:sz w:val="23"/>
              </w:rPr>
              <w:t>için</w:t>
            </w:r>
            <w:r>
              <w:rPr>
                <w:spacing w:val="-6"/>
                <w:sz w:val="23"/>
              </w:rPr>
              <w:t xml:space="preserve"> </w:t>
            </w:r>
            <w:r>
              <w:rPr>
                <w:spacing w:val="-2"/>
                <w:sz w:val="23"/>
              </w:rPr>
              <w:t xml:space="preserve">dâhil </w:t>
            </w:r>
            <w:r>
              <w:rPr>
                <w:sz w:val="23"/>
              </w:rPr>
              <w:t>etme desteği</w:t>
            </w:r>
          </w:p>
        </w:tc>
        <w:tc>
          <w:tcPr>
            <w:tcW w:w="4975" w:type="dxa"/>
          </w:tcPr>
          <w:p w:rsidR="001C287B" w:rsidRDefault="006056CB" w:rsidP="006056CB">
            <w:pPr>
              <w:pStyle w:val="TableParagraph"/>
              <w:spacing w:line="242" w:lineRule="auto"/>
              <w:ind w:left="114"/>
              <w:rPr>
                <w:sz w:val="23"/>
              </w:rPr>
            </w:pPr>
            <w:r>
              <w:rPr>
                <w:sz w:val="23"/>
              </w:rPr>
              <w:t>T</w:t>
            </w:r>
            <w:r w:rsidR="005B69A4">
              <w:rPr>
                <w:sz w:val="23"/>
              </w:rPr>
              <w:t>oplam</w:t>
            </w:r>
            <w:r w:rsidR="005B69A4">
              <w:rPr>
                <w:spacing w:val="-13"/>
                <w:sz w:val="23"/>
              </w:rPr>
              <w:t xml:space="preserve"> </w:t>
            </w:r>
            <w:r w:rsidR="005B69A4">
              <w:rPr>
                <w:sz w:val="23"/>
              </w:rPr>
              <w:t>bütçenin</w:t>
            </w:r>
            <w:r w:rsidR="005B69A4">
              <w:rPr>
                <w:spacing w:val="-9"/>
                <w:sz w:val="23"/>
              </w:rPr>
              <w:t xml:space="preserve"> </w:t>
            </w:r>
            <w:r>
              <w:rPr>
                <w:sz w:val="23"/>
              </w:rPr>
              <w:t xml:space="preserve">en az </w:t>
            </w:r>
            <w:r w:rsidR="005B69A4">
              <w:rPr>
                <w:sz w:val="23"/>
              </w:rPr>
              <w:t>%</w:t>
            </w:r>
            <w:r w:rsidR="005B69A4">
              <w:rPr>
                <w:spacing w:val="-12"/>
                <w:sz w:val="23"/>
              </w:rPr>
              <w:t xml:space="preserve"> </w:t>
            </w:r>
            <w:r>
              <w:rPr>
                <w:sz w:val="23"/>
              </w:rPr>
              <w:t>3</w:t>
            </w:r>
            <w:r w:rsidR="005B69A4">
              <w:rPr>
                <w:sz w:val="23"/>
              </w:rPr>
              <w:t>'</w:t>
            </w:r>
            <w:r>
              <w:rPr>
                <w:sz w:val="23"/>
              </w:rPr>
              <w:t>ü</w:t>
            </w:r>
            <w:r w:rsidR="00795789">
              <w:rPr>
                <w:sz w:val="23"/>
              </w:rPr>
              <w:t xml:space="preserve"> (164.881 Avro)</w:t>
            </w:r>
          </w:p>
        </w:tc>
      </w:tr>
    </w:tbl>
    <w:p w:rsidR="001C287B" w:rsidRDefault="005B69A4">
      <w:pPr>
        <w:pStyle w:val="BodyText"/>
        <w:spacing w:before="219" w:line="242" w:lineRule="auto"/>
        <w:ind w:left="127" w:right="359"/>
        <w:jc w:val="both"/>
      </w:pPr>
      <w:r>
        <w:t>Ek</w:t>
      </w:r>
      <w:r>
        <w:rPr>
          <w:spacing w:val="-4"/>
        </w:rPr>
        <w:t xml:space="preserve"> </w:t>
      </w:r>
      <w:r>
        <w:t>hibe</w:t>
      </w:r>
      <w:r>
        <w:rPr>
          <w:spacing w:val="-8"/>
        </w:rPr>
        <w:t xml:space="preserve"> </w:t>
      </w:r>
      <w:r>
        <w:t>sağlanması</w:t>
      </w:r>
      <w:r>
        <w:rPr>
          <w:spacing w:val="-8"/>
        </w:rPr>
        <w:t xml:space="preserve"> </w:t>
      </w:r>
      <w:r w:rsidR="00795789">
        <w:t>durumunda veya diğer hibe kalemlerinden aktarım olması durumunda</w:t>
      </w:r>
      <w:r>
        <w:rPr>
          <w:spacing w:val="-4"/>
        </w:rPr>
        <w:t xml:space="preserve"> </w:t>
      </w:r>
      <w:r>
        <w:t>Ulusal</w:t>
      </w:r>
      <w:r>
        <w:rPr>
          <w:spacing w:val="-13"/>
        </w:rPr>
        <w:t xml:space="preserve"> </w:t>
      </w:r>
      <w:r>
        <w:t>Ajans</w:t>
      </w:r>
      <w:r>
        <w:rPr>
          <w:spacing w:val="-8"/>
        </w:rPr>
        <w:t xml:space="preserve"> </w:t>
      </w:r>
      <w:r>
        <w:t>mevcut</w:t>
      </w:r>
      <w:r>
        <w:rPr>
          <w:spacing w:val="-10"/>
        </w:rPr>
        <w:t xml:space="preserve"> </w:t>
      </w:r>
      <w:r>
        <w:t>bütçeyi</w:t>
      </w:r>
      <w:r>
        <w:rPr>
          <w:spacing w:val="-9"/>
        </w:rPr>
        <w:t xml:space="preserve"> </w:t>
      </w:r>
      <w:r>
        <w:t>artırabilir.</w:t>
      </w:r>
      <w:r>
        <w:rPr>
          <w:spacing w:val="-9"/>
        </w:rPr>
        <w:t xml:space="preserve"> </w:t>
      </w:r>
    </w:p>
    <w:p w:rsidR="001C287B" w:rsidRDefault="001C287B">
      <w:pPr>
        <w:pStyle w:val="BodyText"/>
        <w:spacing w:line="242" w:lineRule="auto"/>
        <w:jc w:val="both"/>
        <w:sectPr w:rsidR="001C287B">
          <w:footerReference w:type="default" r:id="rId7"/>
          <w:type w:val="continuous"/>
          <w:pgSz w:w="11920" w:h="16850"/>
          <w:pgMar w:top="1940" w:right="850" w:bottom="2040" w:left="1275" w:header="0" w:footer="1840" w:gutter="0"/>
          <w:pgNumType w:start="1"/>
          <w:cols w:space="708"/>
        </w:sectPr>
      </w:pPr>
    </w:p>
    <w:p w:rsidR="001C287B" w:rsidRDefault="005B69A4">
      <w:pPr>
        <w:pStyle w:val="Heading1"/>
        <w:numPr>
          <w:ilvl w:val="0"/>
          <w:numId w:val="1"/>
        </w:numPr>
        <w:tabs>
          <w:tab w:val="left" w:pos="427"/>
          <w:tab w:val="left" w:pos="429"/>
        </w:tabs>
        <w:spacing w:before="28" w:line="237" w:lineRule="auto"/>
        <w:ind w:right="1705"/>
      </w:pPr>
      <w:bookmarkStart w:id="1" w:name="2._TALEP_EDİLEN_FAALİYETLERİN_UYGULANMAS"/>
      <w:bookmarkEnd w:id="1"/>
      <w:r>
        <w:lastRenderedPageBreak/>
        <w:t>TALEP</w:t>
      </w:r>
      <w:r>
        <w:rPr>
          <w:spacing w:val="-11"/>
        </w:rPr>
        <w:t xml:space="preserve"> </w:t>
      </w:r>
      <w:r>
        <w:t>EDİLEN</w:t>
      </w:r>
      <w:r>
        <w:rPr>
          <w:spacing w:val="-8"/>
        </w:rPr>
        <w:t xml:space="preserve"> </w:t>
      </w:r>
      <w:r>
        <w:t>FAALİYETLERİN</w:t>
      </w:r>
      <w:r>
        <w:rPr>
          <w:spacing w:val="-8"/>
        </w:rPr>
        <w:t xml:space="preserve"> </w:t>
      </w:r>
      <w:r>
        <w:t>UYGULANMASI</w:t>
      </w:r>
      <w:r>
        <w:rPr>
          <w:spacing w:val="-9"/>
        </w:rPr>
        <w:t xml:space="preserve"> </w:t>
      </w:r>
      <w:r>
        <w:t>İÇİN</w:t>
      </w:r>
      <w:r>
        <w:rPr>
          <w:spacing w:val="-13"/>
        </w:rPr>
        <w:t xml:space="preserve"> </w:t>
      </w:r>
      <w:r>
        <w:t>GEREKEN</w:t>
      </w:r>
      <w:r>
        <w:rPr>
          <w:spacing w:val="-8"/>
        </w:rPr>
        <w:t xml:space="preserve"> </w:t>
      </w:r>
      <w:r>
        <w:t>TAHMİNİ</w:t>
      </w:r>
      <w:r>
        <w:rPr>
          <w:spacing w:val="-8"/>
        </w:rPr>
        <w:t xml:space="preserve"> </w:t>
      </w:r>
      <w:r>
        <w:t xml:space="preserve">BÜTÇENİN </w:t>
      </w:r>
      <w:r>
        <w:rPr>
          <w:spacing w:val="-2"/>
        </w:rPr>
        <w:t>HESAPLANMASI</w:t>
      </w:r>
    </w:p>
    <w:p w:rsidR="001C287B" w:rsidRDefault="001C287B">
      <w:pPr>
        <w:pStyle w:val="BodyText"/>
        <w:spacing w:before="6"/>
        <w:rPr>
          <w:b/>
        </w:rPr>
      </w:pPr>
    </w:p>
    <w:p w:rsidR="001C287B" w:rsidRDefault="005B69A4">
      <w:pPr>
        <w:pStyle w:val="BodyText"/>
        <w:spacing w:before="1"/>
        <w:ind w:left="127" w:right="126"/>
        <w:jc w:val="both"/>
      </w:pPr>
      <w:r>
        <w:t>Ulusal Ajans,</w:t>
      </w:r>
      <w:r>
        <w:rPr>
          <w:spacing w:val="-2"/>
        </w:rPr>
        <w:t xml:space="preserve"> </w:t>
      </w:r>
      <w:r>
        <w:t>her</w:t>
      </w:r>
      <w:r>
        <w:rPr>
          <w:spacing w:val="-1"/>
        </w:rPr>
        <w:t xml:space="preserve"> </w:t>
      </w:r>
      <w:r>
        <w:t>bir</w:t>
      </w:r>
      <w:r>
        <w:rPr>
          <w:spacing w:val="-2"/>
        </w:rPr>
        <w:t xml:space="preserve"> </w:t>
      </w:r>
      <w:r>
        <w:t>başvuru</w:t>
      </w:r>
      <w:r>
        <w:rPr>
          <w:spacing w:val="-3"/>
        </w:rPr>
        <w:t xml:space="preserve"> </w:t>
      </w:r>
      <w:r>
        <w:t>sahibi tarafından</w:t>
      </w:r>
      <w:r>
        <w:rPr>
          <w:spacing w:val="-3"/>
        </w:rPr>
        <w:t xml:space="preserve"> </w:t>
      </w:r>
      <w:r>
        <w:t>talep</w:t>
      </w:r>
      <w:r>
        <w:rPr>
          <w:spacing w:val="-7"/>
        </w:rPr>
        <w:t xml:space="preserve"> </w:t>
      </w:r>
      <w:r>
        <w:t>edilen</w:t>
      </w:r>
      <w:r>
        <w:rPr>
          <w:spacing w:val="-3"/>
        </w:rPr>
        <w:t xml:space="preserve"> </w:t>
      </w:r>
      <w:r>
        <w:t>faaliyetleri</w:t>
      </w:r>
      <w:r>
        <w:rPr>
          <w:spacing w:val="-2"/>
        </w:rPr>
        <w:t xml:space="preserve"> </w:t>
      </w:r>
      <w:r>
        <w:t>uygulamak için</w:t>
      </w:r>
      <w:r>
        <w:rPr>
          <w:spacing w:val="-3"/>
        </w:rPr>
        <w:t xml:space="preserve"> </w:t>
      </w:r>
      <w:r>
        <w:t>gereken</w:t>
      </w:r>
      <w:r>
        <w:rPr>
          <w:spacing w:val="-2"/>
        </w:rPr>
        <w:t xml:space="preserve"> </w:t>
      </w:r>
      <w:r>
        <w:t>tahmini bütçeyi hesaplayacaktır. Tahmini bütçenin hesaplanması, Program Rehberinde tanımlanan birim maliyetler ve benzer faaliyetler için tahsis edilen hibeye ilişkin geçmiş veriler göz önünde bulundurularak yapılacaktır.</w:t>
      </w:r>
    </w:p>
    <w:p w:rsidR="001C287B" w:rsidRDefault="00AA6D4E">
      <w:pPr>
        <w:pStyle w:val="BodyText"/>
        <w:spacing w:before="279"/>
        <w:ind w:left="127" w:right="132"/>
        <w:jc w:val="both"/>
      </w:pPr>
      <w:r>
        <w:t>K</w:t>
      </w:r>
      <w:r w:rsidR="005B69A4">
        <w:t>atılımcıların dâhil etme desteği ile istisnai masraflar için standart</w:t>
      </w:r>
      <w:r w:rsidR="005B69A4">
        <w:rPr>
          <w:spacing w:val="-2"/>
        </w:rPr>
        <w:t xml:space="preserve"> </w:t>
      </w:r>
      <w:r w:rsidR="005B69A4">
        <w:t>bir bütçe tahmini yapılamaz. Bu tür masraflar için yapılan talepler, başvurunun bir</w:t>
      </w:r>
      <w:r w:rsidR="005B69A4">
        <w:rPr>
          <w:spacing w:val="-13"/>
        </w:rPr>
        <w:t xml:space="preserve"> </w:t>
      </w:r>
      <w:r w:rsidR="005B69A4">
        <w:t>parçası</w:t>
      </w:r>
      <w:r w:rsidR="005B69A4">
        <w:rPr>
          <w:spacing w:val="-13"/>
        </w:rPr>
        <w:t xml:space="preserve"> </w:t>
      </w:r>
      <w:r w:rsidR="005B69A4">
        <w:t>olarak</w:t>
      </w:r>
      <w:r w:rsidR="005B69A4">
        <w:rPr>
          <w:spacing w:val="-13"/>
        </w:rPr>
        <w:t xml:space="preserve"> </w:t>
      </w:r>
      <w:r w:rsidR="005B69A4">
        <w:t>başvuru</w:t>
      </w:r>
      <w:r w:rsidR="005B69A4">
        <w:rPr>
          <w:spacing w:val="-13"/>
        </w:rPr>
        <w:t xml:space="preserve"> </w:t>
      </w:r>
      <w:r w:rsidR="005B69A4">
        <w:t>sahibi</w:t>
      </w:r>
      <w:r w:rsidR="005B69A4">
        <w:rPr>
          <w:spacing w:val="-13"/>
        </w:rPr>
        <w:t xml:space="preserve"> </w:t>
      </w:r>
      <w:r w:rsidR="005B69A4">
        <w:t>tarafından</w:t>
      </w:r>
      <w:r w:rsidR="005B69A4">
        <w:rPr>
          <w:spacing w:val="-13"/>
        </w:rPr>
        <w:t xml:space="preserve"> </w:t>
      </w:r>
      <w:r w:rsidR="005B69A4">
        <w:t>sunulan</w:t>
      </w:r>
      <w:r w:rsidR="005B69A4">
        <w:rPr>
          <w:spacing w:val="-13"/>
        </w:rPr>
        <w:t xml:space="preserve"> </w:t>
      </w:r>
      <w:r w:rsidR="005B69A4">
        <w:t>açıklama,</w:t>
      </w:r>
      <w:r w:rsidR="005B69A4">
        <w:rPr>
          <w:spacing w:val="-13"/>
        </w:rPr>
        <w:t xml:space="preserve"> </w:t>
      </w:r>
      <w:r w:rsidR="005B69A4">
        <w:t>gerekçelendirme</w:t>
      </w:r>
      <w:r w:rsidR="005B69A4">
        <w:rPr>
          <w:spacing w:val="-13"/>
        </w:rPr>
        <w:t xml:space="preserve"> </w:t>
      </w:r>
      <w:r w:rsidR="005B69A4">
        <w:t>ve</w:t>
      </w:r>
      <w:r w:rsidR="005B69A4">
        <w:rPr>
          <w:spacing w:val="-13"/>
        </w:rPr>
        <w:t xml:space="preserve"> </w:t>
      </w:r>
      <w:r w:rsidR="005B69A4">
        <w:t>tahmini</w:t>
      </w:r>
      <w:r w:rsidR="005B69A4">
        <w:rPr>
          <w:spacing w:val="-13"/>
        </w:rPr>
        <w:t xml:space="preserve"> </w:t>
      </w:r>
      <w:r w:rsidR="005B69A4">
        <w:t>miktara</w:t>
      </w:r>
      <w:r w:rsidR="005B69A4">
        <w:rPr>
          <w:spacing w:val="-13"/>
        </w:rPr>
        <w:t xml:space="preserve"> </w:t>
      </w:r>
      <w:r w:rsidR="005B69A4">
        <w:t>göre değerlendirilecektir. Buna ek olarak, yararlanıcılar Ulusal Ajansa yazılı bir talepte bulunarak proje uygulamasının</w:t>
      </w:r>
      <w:r w:rsidR="005B69A4">
        <w:rPr>
          <w:spacing w:val="-2"/>
        </w:rPr>
        <w:t xml:space="preserve"> </w:t>
      </w:r>
      <w:r w:rsidR="005B69A4">
        <w:t>ilk</w:t>
      </w:r>
      <w:r w:rsidR="005B69A4">
        <w:rPr>
          <w:spacing w:val="-1"/>
        </w:rPr>
        <w:t xml:space="preserve"> </w:t>
      </w:r>
      <w:r w:rsidR="005B69A4">
        <w:t>12</w:t>
      </w:r>
      <w:r w:rsidR="005B69A4">
        <w:rPr>
          <w:spacing w:val="-4"/>
        </w:rPr>
        <w:t xml:space="preserve"> </w:t>
      </w:r>
      <w:r w:rsidR="005B69A4">
        <w:t>ayında</w:t>
      </w:r>
      <w:r w:rsidR="005B69A4">
        <w:rPr>
          <w:spacing w:val="-2"/>
        </w:rPr>
        <w:t xml:space="preserve"> </w:t>
      </w:r>
      <w:r w:rsidR="005B69A4">
        <w:t>bu</w:t>
      </w:r>
      <w:r w:rsidR="005B69A4">
        <w:rPr>
          <w:spacing w:val="-3"/>
        </w:rPr>
        <w:t xml:space="preserve"> </w:t>
      </w:r>
      <w:r w:rsidR="005B69A4">
        <w:t>tür</w:t>
      </w:r>
      <w:r w:rsidR="005B69A4">
        <w:rPr>
          <w:spacing w:val="-1"/>
        </w:rPr>
        <w:t xml:space="preserve"> </w:t>
      </w:r>
      <w:r w:rsidR="005B69A4">
        <w:t>masraflar</w:t>
      </w:r>
      <w:r w:rsidR="005B69A4">
        <w:rPr>
          <w:spacing w:val="-1"/>
        </w:rPr>
        <w:t xml:space="preserve"> </w:t>
      </w:r>
      <w:r w:rsidR="005B69A4">
        <w:t>için</w:t>
      </w:r>
      <w:r w:rsidR="005B69A4">
        <w:rPr>
          <w:spacing w:val="-8"/>
        </w:rPr>
        <w:t xml:space="preserve"> </w:t>
      </w:r>
      <w:r w:rsidR="005B69A4">
        <w:t>ek</w:t>
      </w:r>
      <w:r w:rsidR="005B69A4">
        <w:rPr>
          <w:spacing w:val="-2"/>
        </w:rPr>
        <w:t xml:space="preserve"> </w:t>
      </w:r>
      <w:r>
        <w:t>talepte bulunabilir</w:t>
      </w:r>
      <w:r w:rsidR="005B69A4">
        <w:t>.</w:t>
      </w:r>
      <w:r w:rsidR="005B69A4">
        <w:rPr>
          <w:spacing w:val="-2"/>
        </w:rPr>
        <w:t xml:space="preserve"> </w:t>
      </w:r>
      <w:r w:rsidR="005B69A4">
        <w:t>Bu</w:t>
      </w:r>
      <w:r w:rsidR="005B69A4">
        <w:rPr>
          <w:spacing w:val="-4"/>
        </w:rPr>
        <w:t xml:space="preserve"> </w:t>
      </w:r>
      <w:r w:rsidR="005B69A4">
        <w:t>tür</w:t>
      </w:r>
      <w:r w:rsidR="005B69A4">
        <w:rPr>
          <w:spacing w:val="-6"/>
        </w:rPr>
        <w:t xml:space="preserve"> </w:t>
      </w:r>
      <w:r w:rsidR="005B69A4">
        <w:t>talepler,</w:t>
      </w:r>
      <w:r w:rsidR="005B69A4">
        <w:rPr>
          <w:spacing w:val="-1"/>
        </w:rPr>
        <w:t xml:space="preserve"> </w:t>
      </w:r>
      <w:r w:rsidR="005B69A4">
        <w:t>hibe</w:t>
      </w:r>
      <w:r w:rsidR="005B69A4">
        <w:rPr>
          <w:spacing w:val="-1"/>
        </w:rPr>
        <w:t xml:space="preserve"> </w:t>
      </w:r>
      <w:r w:rsidR="005B69A4">
        <w:t>mevcut olduğu sürece, kabul sırasına göre Ulusal Ajans tarafından değerlendirilecektir.</w:t>
      </w:r>
    </w:p>
    <w:p w:rsidR="001C287B" w:rsidRDefault="005B69A4">
      <w:pPr>
        <w:pStyle w:val="BodyText"/>
        <w:spacing w:before="279" w:line="242" w:lineRule="auto"/>
        <w:ind w:left="127" w:right="134"/>
        <w:jc w:val="both"/>
      </w:pPr>
      <w:r>
        <w:t>Her durumda, tahsis edilen hibe tutarı, başvuranın talep ettiği bütçeyi aşmayacaktır.</w:t>
      </w:r>
    </w:p>
    <w:p w:rsidR="001C287B" w:rsidRDefault="005B69A4">
      <w:pPr>
        <w:pStyle w:val="Heading1"/>
        <w:numPr>
          <w:ilvl w:val="0"/>
          <w:numId w:val="1"/>
        </w:numPr>
        <w:tabs>
          <w:tab w:val="left" w:pos="428"/>
        </w:tabs>
        <w:spacing w:before="277"/>
        <w:ind w:left="428" w:hanging="301"/>
      </w:pPr>
      <w:bookmarkStart w:id="2" w:name="3._BÜTÇE_TAHSİSİ"/>
      <w:bookmarkEnd w:id="2"/>
      <w:r>
        <w:t>BÜTÇE</w:t>
      </w:r>
      <w:r>
        <w:rPr>
          <w:spacing w:val="-10"/>
        </w:rPr>
        <w:t xml:space="preserve"> </w:t>
      </w:r>
      <w:r>
        <w:rPr>
          <w:spacing w:val="-2"/>
        </w:rPr>
        <w:t>TAHSİSİ</w:t>
      </w:r>
    </w:p>
    <w:p w:rsidR="001C287B" w:rsidRDefault="001C287B">
      <w:pPr>
        <w:pStyle w:val="BodyText"/>
        <w:spacing w:before="1"/>
        <w:rPr>
          <w:b/>
        </w:rPr>
      </w:pPr>
    </w:p>
    <w:p w:rsidR="001C287B" w:rsidRDefault="005B69A4">
      <w:pPr>
        <w:pStyle w:val="Heading2"/>
        <w:numPr>
          <w:ilvl w:val="1"/>
          <w:numId w:val="1"/>
        </w:numPr>
        <w:tabs>
          <w:tab w:val="left" w:pos="533"/>
        </w:tabs>
        <w:ind w:left="533" w:hanging="406"/>
      </w:pPr>
      <w:bookmarkStart w:id="3" w:name="3.1._Genel_Hükümler"/>
      <w:bookmarkEnd w:id="3"/>
      <w:r>
        <w:t>Genel</w:t>
      </w:r>
      <w:r>
        <w:rPr>
          <w:spacing w:val="2"/>
        </w:rPr>
        <w:t xml:space="preserve"> </w:t>
      </w:r>
      <w:r>
        <w:rPr>
          <w:spacing w:val="-2"/>
        </w:rPr>
        <w:t>Hükümler</w:t>
      </w:r>
    </w:p>
    <w:p w:rsidR="001C287B" w:rsidRDefault="001C287B">
      <w:pPr>
        <w:pStyle w:val="BodyText"/>
        <w:spacing w:before="201"/>
        <w:rPr>
          <w:b/>
        </w:rPr>
      </w:pPr>
    </w:p>
    <w:p w:rsidR="001C287B" w:rsidRDefault="00795789">
      <w:pPr>
        <w:pStyle w:val="BodyText"/>
        <w:spacing w:before="1" w:line="244" w:lineRule="auto"/>
        <w:ind w:left="127" w:right="347"/>
        <w:jc w:val="both"/>
      </w:pPr>
      <w:r>
        <w:t>Kalite sertifikası</w:t>
      </w:r>
      <w:r w:rsidR="005B69A4">
        <w:t xml:space="preserve"> başvuru sahiplerine tahsis</w:t>
      </w:r>
      <w:r w:rsidR="005B69A4">
        <w:rPr>
          <w:spacing w:val="-7"/>
        </w:rPr>
        <w:t xml:space="preserve"> </w:t>
      </w:r>
      <w:r w:rsidR="005B69A4">
        <w:t>edilebilecek</w:t>
      </w:r>
      <w:r w:rsidR="005B69A4">
        <w:rPr>
          <w:spacing w:val="-3"/>
        </w:rPr>
        <w:t xml:space="preserve"> </w:t>
      </w:r>
      <w:r w:rsidR="005B69A4">
        <w:t>toplam</w:t>
      </w:r>
      <w:r w:rsidR="005B69A4">
        <w:rPr>
          <w:spacing w:val="-6"/>
        </w:rPr>
        <w:t xml:space="preserve"> </w:t>
      </w:r>
      <w:r w:rsidR="005B69A4">
        <w:t>bütçe,</w:t>
      </w:r>
      <w:r w:rsidR="005B69A4">
        <w:rPr>
          <w:spacing w:val="-4"/>
        </w:rPr>
        <w:t xml:space="preserve"> </w:t>
      </w:r>
      <w:r w:rsidR="005B69A4">
        <w:t>her</w:t>
      </w:r>
      <w:r w:rsidR="005B69A4">
        <w:rPr>
          <w:spacing w:val="-3"/>
        </w:rPr>
        <w:t xml:space="preserve"> </w:t>
      </w:r>
      <w:r w:rsidR="005B69A4">
        <w:t>bir</w:t>
      </w:r>
      <w:r w:rsidR="005B69A4">
        <w:rPr>
          <w:spacing w:val="-7"/>
        </w:rPr>
        <w:t xml:space="preserve"> </w:t>
      </w:r>
      <w:r w:rsidR="005B69A4">
        <w:t>başvuru</w:t>
      </w:r>
      <w:r w:rsidR="005B69A4">
        <w:rPr>
          <w:spacing w:val="-8"/>
        </w:rPr>
        <w:t xml:space="preserve"> </w:t>
      </w:r>
      <w:r w:rsidR="005B69A4">
        <w:t>sahibine talep</w:t>
      </w:r>
      <w:r w:rsidR="005B69A4">
        <w:rPr>
          <w:spacing w:val="-5"/>
        </w:rPr>
        <w:t xml:space="preserve"> </w:t>
      </w:r>
      <w:r w:rsidR="005B69A4">
        <w:t>ettikleri</w:t>
      </w:r>
      <w:r w:rsidR="005B69A4">
        <w:rPr>
          <w:spacing w:val="-13"/>
        </w:rPr>
        <w:t xml:space="preserve"> </w:t>
      </w:r>
      <w:r w:rsidR="005B69A4">
        <w:t>faaliyetlerini</w:t>
      </w:r>
      <w:r w:rsidR="005B69A4">
        <w:rPr>
          <w:spacing w:val="-4"/>
        </w:rPr>
        <w:t xml:space="preserve"> </w:t>
      </w:r>
      <w:r w:rsidR="005B69A4">
        <w:t>uygulamak</w:t>
      </w:r>
      <w:r w:rsidR="005B69A4">
        <w:rPr>
          <w:spacing w:val="-3"/>
        </w:rPr>
        <w:t xml:space="preserve"> </w:t>
      </w:r>
      <w:r w:rsidR="005B69A4">
        <w:t>için gereken tahmini bütçeyi sağlamak için</w:t>
      </w:r>
      <w:r w:rsidR="005B69A4">
        <w:rPr>
          <w:spacing w:val="-3"/>
        </w:rPr>
        <w:t xml:space="preserve"> </w:t>
      </w:r>
      <w:r w:rsidR="005B69A4">
        <w:t>yeterli değilse, aşağıda açıklandığı şekilde</w:t>
      </w:r>
      <w:r w:rsidR="005B69A4">
        <w:rPr>
          <w:spacing w:val="-1"/>
        </w:rPr>
        <w:t xml:space="preserve"> </w:t>
      </w:r>
      <w:r w:rsidR="005B69A4">
        <w:t>rekabete</w:t>
      </w:r>
      <w:r w:rsidR="005B69A4">
        <w:rPr>
          <w:spacing w:val="-1"/>
        </w:rPr>
        <w:t xml:space="preserve"> </w:t>
      </w:r>
      <w:r w:rsidR="005B69A4">
        <w:t>dayalı bir bütçe tahsisi uygulanacaktır. Ancak, mevcut toplam bütçenin tüm başvuru sahiplerinin taleplerini tam olarak karşılamaya yeterli olması halinde, talep edilen hibeler bu şekilde tahsis edilecektir.</w:t>
      </w:r>
    </w:p>
    <w:p w:rsidR="001C287B" w:rsidRDefault="005B69A4">
      <w:pPr>
        <w:pStyle w:val="BodyText"/>
        <w:spacing w:before="269" w:line="242" w:lineRule="auto"/>
        <w:ind w:left="127" w:right="344"/>
        <w:jc w:val="both"/>
      </w:pPr>
      <w:r>
        <w:t>Rekabete dayalı bütçe tahsisi çok a</w:t>
      </w:r>
      <w:r w:rsidR="00AA6D4E">
        <w:t>şamalı bir süreçle gerçekleş</w:t>
      </w:r>
      <w:r>
        <w:t>ir. Her aşamada, mevcut bütçe aşağıda</w:t>
      </w:r>
      <w:r>
        <w:rPr>
          <w:spacing w:val="-2"/>
        </w:rPr>
        <w:t xml:space="preserve"> </w:t>
      </w:r>
      <w:r>
        <w:t>tanımlanan</w:t>
      </w:r>
      <w:r w:rsidR="00AA6D4E">
        <w:rPr>
          <w:spacing w:val="-4"/>
        </w:rPr>
        <w:t xml:space="preserve"> </w:t>
      </w:r>
      <w:proofErr w:type="gramStart"/>
      <w:r>
        <w:t>kriterlere</w:t>
      </w:r>
      <w:proofErr w:type="gramEnd"/>
      <w:r>
        <w:rPr>
          <w:spacing w:val="-6"/>
        </w:rPr>
        <w:t xml:space="preserve"> </w:t>
      </w:r>
      <w:r>
        <w:t>göre</w:t>
      </w:r>
      <w:r>
        <w:rPr>
          <w:spacing w:val="-3"/>
        </w:rPr>
        <w:t xml:space="preserve"> </w:t>
      </w:r>
      <w:r>
        <w:t>uygun</w:t>
      </w:r>
      <w:r>
        <w:rPr>
          <w:spacing w:val="-4"/>
        </w:rPr>
        <w:t xml:space="preserve"> </w:t>
      </w:r>
      <w:r>
        <w:t>başvuru</w:t>
      </w:r>
      <w:r>
        <w:rPr>
          <w:spacing w:val="-7"/>
        </w:rPr>
        <w:t xml:space="preserve"> </w:t>
      </w:r>
      <w:r>
        <w:t>sahipleri</w:t>
      </w:r>
      <w:r>
        <w:rPr>
          <w:spacing w:val="-3"/>
        </w:rPr>
        <w:t xml:space="preserve"> </w:t>
      </w:r>
      <w:r>
        <w:t>arasında</w:t>
      </w:r>
      <w:r>
        <w:rPr>
          <w:spacing w:val="-2"/>
        </w:rPr>
        <w:t xml:space="preserve"> </w:t>
      </w:r>
      <w:r>
        <w:t>paylaştırılacaktır.</w:t>
      </w:r>
      <w:r>
        <w:rPr>
          <w:spacing w:val="-2"/>
        </w:rPr>
        <w:t xml:space="preserve"> </w:t>
      </w:r>
      <w:r>
        <w:t>Talep</w:t>
      </w:r>
      <w:r>
        <w:rPr>
          <w:spacing w:val="-8"/>
        </w:rPr>
        <w:t xml:space="preserve"> </w:t>
      </w:r>
      <w:r>
        <w:t>ettikleri faaliyetleri gerçekleştirmek için gerekli bütçenin tamamını alan (veya maksimum hibe miktarına ulaşan) başvuranlar, sonraki tahsis aşamalarına katılamayacaktır. Mevcut fonlar, ilgili tahsis kuralları</w:t>
      </w:r>
      <w:r w:rsidR="00AA6D4E">
        <w:t>na göre başvuranlara dağıtıl</w:t>
      </w:r>
      <w:r>
        <w:t xml:space="preserve">ır. Tahsis edilen tüm tutarlar en yakın avro tutarına </w:t>
      </w:r>
      <w:r w:rsidR="00AA6D4E">
        <w:rPr>
          <w:spacing w:val="-2"/>
        </w:rPr>
        <w:t>yuvarlan</w:t>
      </w:r>
      <w:r>
        <w:rPr>
          <w:spacing w:val="-2"/>
        </w:rPr>
        <w:t>ır.</w:t>
      </w:r>
    </w:p>
    <w:p w:rsidR="001C287B" w:rsidRDefault="001C287B">
      <w:pPr>
        <w:pStyle w:val="BodyText"/>
      </w:pPr>
    </w:p>
    <w:p w:rsidR="001C287B" w:rsidRDefault="005B69A4">
      <w:pPr>
        <w:pStyle w:val="Heading2"/>
        <w:numPr>
          <w:ilvl w:val="1"/>
          <w:numId w:val="1"/>
        </w:numPr>
        <w:tabs>
          <w:tab w:val="left" w:pos="533"/>
        </w:tabs>
        <w:ind w:left="533" w:hanging="406"/>
      </w:pPr>
      <w:bookmarkStart w:id="4" w:name="3.2._Asgari_hibe"/>
      <w:bookmarkEnd w:id="4"/>
      <w:r>
        <w:t>Asgari</w:t>
      </w:r>
      <w:r>
        <w:rPr>
          <w:spacing w:val="-2"/>
        </w:rPr>
        <w:t xml:space="preserve"> </w:t>
      </w:r>
      <w:r>
        <w:rPr>
          <w:spacing w:val="-4"/>
        </w:rPr>
        <w:t>hibe</w:t>
      </w:r>
    </w:p>
    <w:p w:rsidR="001C287B" w:rsidRDefault="001C287B">
      <w:pPr>
        <w:pStyle w:val="BodyText"/>
        <w:rPr>
          <w:b/>
        </w:rPr>
      </w:pPr>
    </w:p>
    <w:p w:rsidR="001C287B" w:rsidRDefault="005B69A4">
      <w:pPr>
        <w:pStyle w:val="BodyText"/>
        <w:ind w:left="127"/>
      </w:pPr>
      <w:r>
        <w:t>Tüm başvuru</w:t>
      </w:r>
      <w:r>
        <w:rPr>
          <w:spacing w:val="1"/>
        </w:rPr>
        <w:t xml:space="preserve"> </w:t>
      </w:r>
      <w:r>
        <w:t>sahiplerinin</w:t>
      </w:r>
      <w:r>
        <w:rPr>
          <w:spacing w:val="11"/>
        </w:rPr>
        <w:t xml:space="preserve"> </w:t>
      </w:r>
      <w:r>
        <w:t>alacağı</w:t>
      </w:r>
      <w:r>
        <w:rPr>
          <w:spacing w:val="7"/>
        </w:rPr>
        <w:t xml:space="preserve"> </w:t>
      </w:r>
      <w:r>
        <w:t>asgari</w:t>
      </w:r>
      <w:r>
        <w:rPr>
          <w:spacing w:val="6"/>
        </w:rPr>
        <w:t xml:space="preserve"> </w:t>
      </w:r>
      <w:r>
        <w:t>temel</w:t>
      </w:r>
      <w:r>
        <w:rPr>
          <w:spacing w:val="7"/>
        </w:rPr>
        <w:t xml:space="preserve"> </w:t>
      </w:r>
      <w:r>
        <w:t>hibe:</w:t>
      </w:r>
      <w:r>
        <w:rPr>
          <w:spacing w:val="2"/>
        </w:rPr>
        <w:t xml:space="preserve"> </w:t>
      </w:r>
      <w:r w:rsidR="00701DF3">
        <w:t>2</w:t>
      </w:r>
      <w:r>
        <w:t>0.000</w:t>
      </w:r>
      <w:r>
        <w:rPr>
          <w:spacing w:val="6"/>
        </w:rPr>
        <w:t xml:space="preserve"> </w:t>
      </w:r>
      <w:proofErr w:type="spellStart"/>
      <w:r>
        <w:rPr>
          <w:spacing w:val="-4"/>
        </w:rPr>
        <w:t>Avro</w:t>
      </w:r>
      <w:r w:rsidR="00AA6D4E">
        <w:rPr>
          <w:spacing w:val="-4"/>
        </w:rPr>
        <w:t>’dur</w:t>
      </w:r>
      <w:proofErr w:type="spellEnd"/>
      <w:r w:rsidR="00AA6D4E">
        <w:rPr>
          <w:spacing w:val="-4"/>
        </w:rPr>
        <w:t>.</w:t>
      </w:r>
    </w:p>
    <w:p w:rsidR="001C287B" w:rsidRDefault="005B69A4">
      <w:pPr>
        <w:pStyle w:val="BodyText"/>
        <w:spacing w:before="3"/>
        <w:ind w:left="127"/>
        <w:rPr>
          <w:spacing w:val="-2"/>
        </w:rPr>
      </w:pPr>
      <w:r>
        <w:t>Yeterli</w:t>
      </w:r>
      <w:r>
        <w:rPr>
          <w:spacing w:val="-11"/>
        </w:rPr>
        <w:t xml:space="preserve"> </w:t>
      </w:r>
      <w:r>
        <w:t>hibe</w:t>
      </w:r>
      <w:r>
        <w:rPr>
          <w:spacing w:val="-9"/>
        </w:rPr>
        <w:t xml:space="preserve"> </w:t>
      </w:r>
      <w:r>
        <w:t>olması</w:t>
      </w:r>
      <w:r>
        <w:rPr>
          <w:spacing w:val="-9"/>
        </w:rPr>
        <w:t xml:space="preserve"> </w:t>
      </w:r>
      <w:r>
        <w:t>durumunda</w:t>
      </w:r>
      <w:r>
        <w:rPr>
          <w:spacing w:val="27"/>
        </w:rPr>
        <w:t xml:space="preserve"> </w:t>
      </w:r>
      <w:r>
        <w:t>Ulusal</w:t>
      </w:r>
      <w:r>
        <w:rPr>
          <w:spacing w:val="-9"/>
        </w:rPr>
        <w:t xml:space="preserve"> </w:t>
      </w:r>
      <w:r>
        <w:t>Ajans</w:t>
      </w:r>
      <w:r>
        <w:rPr>
          <w:spacing w:val="-8"/>
        </w:rPr>
        <w:t xml:space="preserve"> </w:t>
      </w:r>
      <w:r>
        <w:t>son</w:t>
      </w:r>
      <w:r>
        <w:rPr>
          <w:spacing w:val="-9"/>
        </w:rPr>
        <w:t xml:space="preserve"> </w:t>
      </w:r>
      <w:r>
        <w:t>başvuru</w:t>
      </w:r>
      <w:r>
        <w:rPr>
          <w:spacing w:val="-10"/>
        </w:rPr>
        <w:t xml:space="preserve"> </w:t>
      </w:r>
      <w:r>
        <w:t>tarihinden</w:t>
      </w:r>
      <w:r>
        <w:rPr>
          <w:spacing w:val="-10"/>
        </w:rPr>
        <w:t xml:space="preserve"> </w:t>
      </w:r>
      <w:r>
        <w:t>sonra</w:t>
      </w:r>
      <w:r>
        <w:rPr>
          <w:spacing w:val="-7"/>
        </w:rPr>
        <w:t xml:space="preserve"> </w:t>
      </w:r>
      <w:r>
        <w:t>temel</w:t>
      </w:r>
      <w:r>
        <w:rPr>
          <w:spacing w:val="-9"/>
        </w:rPr>
        <w:t xml:space="preserve"> </w:t>
      </w:r>
      <w:r>
        <w:t>hibeyi</w:t>
      </w:r>
      <w:r>
        <w:rPr>
          <w:spacing w:val="-12"/>
        </w:rPr>
        <w:t xml:space="preserve"> </w:t>
      </w:r>
      <w:r>
        <w:rPr>
          <w:spacing w:val="-2"/>
        </w:rPr>
        <w:t>artırabilir.</w:t>
      </w:r>
    </w:p>
    <w:p w:rsidR="00E5794F" w:rsidRPr="00E5794F" w:rsidRDefault="00E5794F" w:rsidP="009C44A9">
      <w:pPr>
        <w:pStyle w:val="BodyText"/>
        <w:ind w:left="127"/>
      </w:pPr>
      <w:r w:rsidRPr="009C44A9">
        <w:t>Tahmini hibe tutarı minimum hibe tutarından düşük olan hibe talepleri tamamen onaylanacaktır.</w:t>
      </w:r>
    </w:p>
    <w:p w:rsidR="00E5794F" w:rsidRDefault="00E5794F">
      <w:pPr>
        <w:pStyle w:val="BodyText"/>
        <w:spacing w:before="3"/>
        <w:ind w:left="127"/>
      </w:pPr>
    </w:p>
    <w:p w:rsidR="001C287B" w:rsidRDefault="001C287B">
      <w:pPr>
        <w:pStyle w:val="BodyText"/>
      </w:pPr>
    </w:p>
    <w:p w:rsidR="00AA6D4E" w:rsidRDefault="00AA6D4E">
      <w:pPr>
        <w:pStyle w:val="BodyText"/>
      </w:pPr>
    </w:p>
    <w:p w:rsidR="00AA6D4E" w:rsidRDefault="00AA6D4E">
      <w:pPr>
        <w:pStyle w:val="BodyText"/>
      </w:pPr>
    </w:p>
    <w:p w:rsidR="00AA6D4E" w:rsidRDefault="00AA6D4E">
      <w:pPr>
        <w:pStyle w:val="BodyText"/>
      </w:pPr>
    </w:p>
    <w:p w:rsidR="00AA6D4E" w:rsidRDefault="00AA6D4E">
      <w:pPr>
        <w:pStyle w:val="BodyText"/>
      </w:pPr>
    </w:p>
    <w:p w:rsidR="001C287B" w:rsidRDefault="005B69A4">
      <w:pPr>
        <w:pStyle w:val="Heading2"/>
        <w:numPr>
          <w:ilvl w:val="1"/>
          <w:numId w:val="1"/>
        </w:numPr>
        <w:tabs>
          <w:tab w:val="left" w:pos="533"/>
        </w:tabs>
        <w:ind w:left="533" w:hanging="406"/>
      </w:pPr>
      <w:bookmarkStart w:id="5" w:name="3.3._Azami_hibe"/>
      <w:bookmarkEnd w:id="5"/>
      <w:r>
        <w:lastRenderedPageBreak/>
        <w:t>Azami</w:t>
      </w:r>
      <w:r>
        <w:rPr>
          <w:spacing w:val="5"/>
        </w:rPr>
        <w:t xml:space="preserve"> </w:t>
      </w:r>
      <w:r>
        <w:rPr>
          <w:spacing w:val="-4"/>
        </w:rPr>
        <w:t>hibe</w:t>
      </w:r>
    </w:p>
    <w:p w:rsidR="001C287B" w:rsidRDefault="001C287B">
      <w:pPr>
        <w:pStyle w:val="BodyText"/>
        <w:spacing w:before="10"/>
        <w:rPr>
          <w:b/>
        </w:rPr>
      </w:pPr>
    </w:p>
    <w:p w:rsidR="001C287B" w:rsidRDefault="005B69A4" w:rsidP="0091312B">
      <w:pPr>
        <w:pStyle w:val="BodyText"/>
        <w:ind w:left="127"/>
      </w:pPr>
      <w:r>
        <w:t>Tüm</w:t>
      </w:r>
      <w:r>
        <w:rPr>
          <w:spacing w:val="-10"/>
        </w:rPr>
        <w:t xml:space="preserve"> </w:t>
      </w:r>
      <w:r>
        <w:t>başvuru</w:t>
      </w:r>
      <w:r>
        <w:rPr>
          <w:spacing w:val="-9"/>
        </w:rPr>
        <w:t xml:space="preserve"> </w:t>
      </w:r>
      <w:r>
        <w:t>sahiplerinin</w:t>
      </w:r>
      <w:r>
        <w:rPr>
          <w:spacing w:val="-8"/>
        </w:rPr>
        <w:t xml:space="preserve"> </w:t>
      </w:r>
      <w:r>
        <w:t>alacağı</w:t>
      </w:r>
      <w:r>
        <w:rPr>
          <w:spacing w:val="-8"/>
        </w:rPr>
        <w:t xml:space="preserve"> </w:t>
      </w:r>
      <w:r>
        <w:t>azami</w:t>
      </w:r>
      <w:r>
        <w:rPr>
          <w:spacing w:val="-4"/>
        </w:rPr>
        <w:t xml:space="preserve"> </w:t>
      </w:r>
      <w:r>
        <w:t>hibe</w:t>
      </w:r>
      <w:r>
        <w:rPr>
          <w:spacing w:val="-7"/>
        </w:rPr>
        <w:t xml:space="preserve"> </w:t>
      </w:r>
      <w:r>
        <w:t>miktarı</w:t>
      </w:r>
      <w:r w:rsidR="00402C4B">
        <w:t xml:space="preserve"> a</w:t>
      </w:r>
      <w:r w:rsidR="00AA6D4E">
        <w:t>şağıdaki kurala göre hesaplanır;</w:t>
      </w:r>
    </w:p>
    <w:p w:rsidR="00402C4B" w:rsidRDefault="00402C4B" w:rsidP="0091312B">
      <w:pPr>
        <w:pStyle w:val="BodyText"/>
        <w:ind w:left="127"/>
      </w:pPr>
    </w:p>
    <w:p w:rsidR="00402C4B" w:rsidRPr="00402C4B" w:rsidRDefault="00402C4B" w:rsidP="00402C4B">
      <w:pPr>
        <w:pStyle w:val="ListParagraph"/>
        <w:widowControl/>
        <w:numPr>
          <w:ilvl w:val="0"/>
          <w:numId w:val="4"/>
        </w:numPr>
        <w:adjustRightInd w:val="0"/>
        <w:rPr>
          <w:sz w:val="23"/>
          <w:szCs w:val="23"/>
        </w:rPr>
      </w:pPr>
      <w:r w:rsidRPr="00402C4B">
        <w:rPr>
          <w:sz w:val="23"/>
          <w:szCs w:val="23"/>
        </w:rPr>
        <w:t>İlk defa başvuranlar hariç kurumların bir önceki yıl aldıkları hibenin %20 oranında artış ile sınırlandırılır.</w:t>
      </w:r>
    </w:p>
    <w:p w:rsidR="00402C4B" w:rsidRPr="00402C4B" w:rsidRDefault="00402C4B" w:rsidP="00402C4B">
      <w:pPr>
        <w:pStyle w:val="ListParagraph"/>
        <w:widowControl/>
        <w:numPr>
          <w:ilvl w:val="0"/>
          <w:numId w:val="4"/>
        </w:numPr>
        <w:adjustRightInd w:val="0"/>
        <w:rPr>
          <w:sz w:val="23"/>
          <w:szCs w:val="23"/>
        </w:rPr>
      </w:pPr>
      <w:r w:rsidRPr="00402C4B">
        <w:rPr>
          <w:sz w:val="23"/>
          <w:szCs w:val="23"/>
        </w:rPr>
        <w:t>Kurumsal kapasiteleri ve proje yönetimleri göz önünde bulundurularak potansiyel risk oluşturabileceği</w:t>
      </w:r>
      <w:r>
        <w:rPr>
          <w:sz w:val="23"/>
          <w:szCs w:val="23"/>
        </w:rPr>
        <w:t xml:space="preserve"> </w:t>
      </w:r>
      <w:r w:rsidRPr="00402C4B">
        <w:rPr>
          <w:sz w:val="23"/>
          <w:szCs w:val="23"/>
        </w:rPr>
        <w:t xml:space="preserve">değerlendirilen kurumların </w:t>
      </w:r>
      <w:r w:rsidR="00701DF3">
        <w:rPr>
          <w:sz w:val="23"/>
          <w:szCs w:val="23"/>
        </w:rPr>
        <w:t xml:space="preserve">hibeleri </w:t>
      </w:r>
      <w:r w:rsidRPr="00402C4B">
        <w:rPr>
          <w:sz w:val="23"/>
          <w:szCs w:val="23"/>
        </w:rPr>
        <w:t>bir önceki yıl aldıkları hibe ile sınırlandırılır.</w:t>
      </w:r>
    </w:p>
    <w:p w:rsidR="00402C4B" w:rsidRPr="00402C4B" w:rsidRDefault="00402C4B" w:rsidP="00402C4B">
      <w:pPr>
        <w:pStyle w:val="ListParagraph"/>
        <w:widowControl/>
        <w:numPr>
          <w:ilvl w:val="0"/>
          <w:numId w:val="2"/>
        </w:numPr>
        <w:adjustRightInd w:val="0"/>
        <w:rPr>
          <w:sz w:val="23"/>
          <w:szCs w:val="23"/>
        </w:rPr>
      </w:pPr>
      <w:r w:rsidRPr="00402C4B">
        <w:rPr>
          <w:sz w:val="23"/>
          <w:szCs w:val="23"/>
        </w:rPr>
        <w:t>İlk defa ESC51 hibe başvurusund</w:t>
      </w:r>
      <w:r w:rsidR="00AA6D4E">
        <w:rPr>
          <w:sz w:val="23"/>
          <w:szCs w:val="23"/>
        </w:rPr>
        <w:t>a bulunan kurumlar için en fazla 55.000 A</w:t>
      </w:r>
      <w:r w:rsidRPr="00402C4B">
        <w:rPr>
          <w:sz w:val="23"/>
          <w:szCs w:val="23"/>
        </w:rPr>
        <w:t>vro ile sınırlandırılır.</w:t>
      </w:r>
    </w:p>
    <w:p w:rsidR="00402C4B" w:rsidRPr="00402C4B" w:rsidRDefault="00402C4B" w:rsidP="00402C4B">
      <w:pPr>
        <w:pStyle w:val="ListParagraph"/>
        <w:widowControl/>
        <w:numPr>
          <w:ilvl w:val="0"/>
          <w:numId w:val="2"/>
        </w:numPr>
        <w:adjustRightInd w:val="0"/>
        <w:rPr>
          <w:sz w:val="23"/>
          <w:szCs w:val="23"/>
        </w:rPr>
      </w:pPr>
      <w:r w:rsidRPr="00402C4B">
        <w:rPr>
          <w:sz w:val="23"/>
          <w:szCs w:val="23"/>
        </w:rPr>
        <w:t>Kurumların en son değerlendirilen nihai raporlarına göre hibe kull</w:t>
      </w:r>
      <w:r w:rsidR="00701DF3">
        <w:rPr>
          <w:sz w:val="23"/>
          <w:szCs w:val="23"/>
        </w:rPr>
        <w:t>anım oranı %80</w:t>
      </w:r>
      <w:r w:rsidR="00AA6D4E">
        <w:rPr>
          <w:sz w:val="23"/>
          <w:szCs w:val="23"/>
        </w:rPr>
        <w:t>’in</w:t>
      </w:r>
      <w:r w:rsidR="00701DF3">
        <w:rPr>
          <w:sz w:val="23"/>
          <w:szCs w:val="23"/>
        </w:rPr>
        <w:t xml:space="preserve"> altında olanların hibeleri</w:t>
      </w:r>
      <w:r w:rsidRPr="00402C4B">
        <w:rPr>
          <w:sz w:val="23"/>
          <w:szCs w:val="23"/>
        </w:rPr>
        <w:t xml:space="preserve"> nihai</w:t>
      </w:r>
      <w:r>
        <w:rPr>
          <w:sz w:val="23"/>
          <w:szCs w:val="23"/>
        </w:rPr>
        <w:t xml:space="preserve"> </w:t>
      </w:r>
      <w:r w:rsidRPr="00402C4B">
        <w:rPr>
          <w:sz w:val="23"/>
          <w:szCs w:val="23"/>
        </w:rPr>
        <w:t>raporda en son kullandıkları hibe ile sınırlandırılır.</w:t>
      </w:r>
    </w:p>
    <w:p w:rsidR="00402C4B" w:rsidRPr="00402C4B" w:rsidRDefault="00402C4B" w:rsidP="00402C4B">
      <w:pPr>
        <w:pStyle w:val="ListParagraph"/>
        <w:widowControl/>
        <w:numPr>
          <w:ilvl w:val="0"/>
          <w:numId w:val="2"/>
        </w:numPr>
        <w:adjustRightInd w:val="0"/>
        <w:spacing w:before="26" w:line="247" w:lineRule="auto"/>
        <w:ind w:right="367"/>
        <w:jc w:val="both"/>
      </w:pPr>
      <w:r w:rsidRPr="00402C4B">
        <w:rPr>
          <w:sz w:val="23"/>
          <w:szCs w:val="23"/>
        </w:rPr>
        <w:t>2025 yılı içinde proje izleme ve denetim faaliyetleri sonucunda düşük performans gösterdiği veya</w:t>
      </w:r>
      <w:r>
        <w:rPr>
          <w:sz w:val="23"/>
          <w:szCs w:val="23"/>
        </w:rPr>
        <w:t xml:space="preserve"> </w:t>
      </w:r>
      <w:r w:rsidRPr="00402C4B">
        <w:rPr>
          <w:sz w:val="23"/>
          <w:szCs w:val="23"/>
        </w:rPr>
        <w:t>programın kalite standartlarına uymadığı tespit edilen ve bu nedenle riskli olarak değerlendirilen kuruluşların</w:t>
      </w:r>
      <w:r w:rsidR="00701DF3">
        <w:rPr>
          <w:sz w:val="23"/>
          <w:szCs w:val="23"/>
        </w:rPr>
        <w:t xml:space="preserve"> hibeleri</w:t>
      </w:r>
      <w:r w:rsidRPr="00402C4B">
        <w:rPr>
          <w:sz w:val="23"/>
          <w:szCs w:val="23"/>
        </w:rPr>
        <w:t xml:space="preserve"> bir önceki yıl aldıkları hibenin %50’si ile sınırlandırılır.</w:t>
      </w:r>
    </w:p>
    <w:p w:rsidR="00402C4B" w:rsidRPr="00402C4B" w:rsidRDefault="00402C4B" w:rsidP="00402C4B">
      <w:pPr>
        <w:pStyle w:val="ListParagraph"/>
        <w:widowControl/>
        <w:adjustRightInd w:val="0"/>
        <w:spacing w:before="26" w:line="247" w:lineRule="auto"/>
        <w:ind w:left="720" w:right="367" w:firstLine="0"/>
        <w:jc w:val="both"/>
      </w:pPr>
    </w:p>
    <w:p w:rsidR="001C287B" w:rsidRDefault="005B69A4" w:rsidP="00DE7A64">
      <w:pPr>
        <w:widowControl/>
        <w:adjustRightInd w:val="0"/>
        <w:spacing w:before="26" w:line="247" w:lineRule="auto"/>
        <w:ind w:right="367"/>
        <w:jc w:val="both"/>
      </w:pPr>
      <w:r>
        <w:t>İstisnai olarak, katılımcılar için dâhil etmeği desteği ve istisnai masraflar azami hibede uygulanan limitlere dâhil değildir.</w:t>
      </w:r>
    </w:p>
    <w:p w:rsidR="001C287B" w:rsidRDefault="001C287B">
      <w:pPr>
        <w:pStyle w:val="BodyText"/>
        <w:spacing w:before="34"/>
      </w:pPr>
    </w:p>
    <w:p w:rsidR="001C287B" w:rsidRDefault="005B69A4">
      <w:pPr>
        <w:pStyle w:val="Heading2"/>
        <w:numPr>
          <w:ilvl w:val="1"/>
          <w:numId w:val="1"/>
        </w:numPr>
        <w:tabs>
          <w:tab w:val="left" w:pos="533"/>
        </w:tabs>
        <w:ind w:left="533" w:hanging="406"/>
      </w:pPr>
      <w:bookmarkStart w:id="6" w:name="3.4._Nitel_performans,_politika_öncelikl"/>
      <w:bookmarkEnd w:id="6"/>
      <w:r>
        <w:rPr>
          <w:spacing w:val="-2"/>
        </w:rPr>
        <w:t>Nitel</w:t>
      </w:r>
      <w:r>
        <w:t xml:space="preserve"> </w:t>
      </w:r>
      <w:r>
        <w:rPr>
          <w:spacing w:val="-2"/>
        </w:rPr>
        <w:t>performans,</w:t>
      </w:r>
      <w:r>
        <w:rPr>
          <w:spacing w:val="-4"/>
        </w:rPr>
        <w:t xml:space="preserve"> </w:t>
      </w:r>
      <w:r>
        <w:rPr>
          <w:spacing w:val="-2"/>
        </w:rPr>
        <w:t>politika</w:t>
      </w:r>
      <w:r>
        <w:rPr>
          <w:spacing w:val="1"/>
        </w:rPr>
        <w:t xml:space="preserve"> </w:t>
      </w:r>
      <w:r>
        <w:rPr>
          <w:spacing w:val="-2"/>
        </w:rPr>
        <w:t>öncelikleri</w:t>
      </w:r>
      <w:r>
        <w:rPr>
          <w:spacing w:val="-1"/>
        </w:rPr>
        <w:t xml:space="preserve"> </w:t>
      </w:r>
      <w:r>
        <w:rPr>
          <w:spacing w:val="-2"/>
        </w:rPr>
        <w:t>ve</w:t>
      </w:r>
      <w:r>
        <w:rPr>
          <w:spacing w:val="-3"/>
        </w:rPr>
        <w:t xml:space="preserve"> </w:t>
      </w:r>
      <w:r>
        <w:rPr>
          <w:spacing w:val="-2"/>
        </w:rPr>
        <w:t>tematik</w:t>
      </w:r>
      <w:r>
        <w:rPr>
          <w:spacing w:val="-7"/>
        </w:rPr>
        <w:t xml:space="preserve"> </w:t>
      </w:r>
      <w:r>
        <w:rPr>
          <w:spacing w:val="-2"/>
        </w:rPr>
        <w:t>alanlar</w:t>
      </w:r>
    </w:p>
    <w:p w:rsidR="001C287B" w:rsidRDefault="001C287B">
      <w:pPr>
        <w:pStyle w:val="BodyText"/>
        <w:spacing w:before="25"/>
        <w:rPr>
          <w:b/>
        </w:rPr>
      </w:pPr>
    </w:p>
    <w:p w:rsidR="001C287B" w:rsidRDefault="005B69A4">
      <w:pPr>
        <w:pStyle w:val="BodyText"/>
        <w:spacing w:line="242" w:lineRule="auto"/>
        <w:ind w:left="170"/>
      </w:pPr>
      <w:r>
        <w:t>Bu</w:t>
      </w:r>
      <w:r>
        <w:rPr>
          <w:spacing w:val="40"/>
        </w:rPr>
        <w:t xml:space="preserve"> </w:t>
      </w:r>
      <w:r>
        <w:t>aşamaya</w:t>
      </w:r>
      <w:r>
        <w:rPr>
          <w:spacing w:val="69"/>
        </w:rPr>
        <w:t xml:space="preserve"> </w:t>
      </w:r>
      <w:r>
        <w:t>tahsis</w:t>
      </w:r>
      <w:r>
        <w:rPr>
          <w:spacing w:val="70"/>
        </w:rPr>
        <w:t xml:space="preserve"> </w:t>
      </w:r>
      <w:r>
        <w:t>edilen</w:t>
      </w:r>
      <w:r>
        <w:rPr>
          <w:spacing w:val="40"/>
        </w:rPr>
        <w:t xml:space="preserve"> </w:t>
      </w:r>
      <w:r>
        <w:t>bütçe,</w:t>
      </w:r>
      <w:r>
        <w:rPr>
          <w:spacing w:val="69"/>
        </w:rPr>
        <w:t xml:space="preserve"> </w:t>
      </w:r>
      <w:r>
        <w:t>başvuru</w:t>
      </w:r>
      <w:r>
        <w:rPr>
          <w:spacing w:val="40"/>
        </w:rPr>
        <w:t xml:space="preserve"> </w:t>
      </w:r>
      <w:r>
        <w:t>sahipleri</w:t>
      </w:r>
      <w:r>
        <w:rPr>
          <w:spacing w:val="69"/>
        </w:rPr>
        <w:t xml:space="preserve"> </w:t>
      </w:r>
      <w:r>
        <w:t>arasında</w:t>
      </w:r>
      <w:r>
        <w:rPr>
          <w:spacing w:val="69"/>
        </w:rPr>
        <w:t xml:space="preserve"> </w:t>
      </w:r>
      <w:r>
        <w:t>aldıkları</w:t>
      </w:r>
      <w:r>
        <w:rPr>
          <w:spacing w:val="70"/>
        </w:rPr>
        <w:t xml:space="preserve"> </w:t>
      </w:r>
      <w:r>
        <w:t>puanla</w:t>
      </w:r>
      <w:r>
        <w:rPr>
          <w:spacing w:val="69"/>
        </w:rPr>
        <w:t xml:space="preserve"> </w:t>
      </w:r>
      <w:r>
        <w:t>orantılı</w:t>
      </w:r>
      <w:r>
        <w:rPr>
          <w:spacing w:val="40"/>
        </w:rPr>
        <w:t xml:space="preserve"> </w:t>
      </w:r>
      <w:r>
        <w:t xml:space="preserve">olarak </w:t>
      </w:r>
      <w:r>
        <w:rPr>
          <w:spacing w:val="-2"/>
        </w:rPr>
        <w:t>paylaştırılacaktır.</w:t>
      </w:r>
    </w:p>
    <w:p w:rsidR="001C287B" w:rsidRDefault="001C287B">
      <w:pPr>
        <w:pStyle w:val="BodyText"/>
        <w:spacing w:before="1"/>
      </w:pPr>
    </w:p>
    <w:p w:rsidR="001C287B" w:rsidRDefault="005B69A4">
      <w:pPr>
        <w:pStyle w:val="BodyText"/>
        <w:spacing w:before="1"/>
        <w:ind w:left="170"/>
      </w:pPr>
      <w:r>
        <w:t>Her bir</w:t>
      </w:r>
      <w:r>
        <w:rPr>
          <w:spacing w:val="1"/>
        </w:rPr>
        <w:t xml:space="preserve"> </w:t>
      </w:r>
      <w:r>
        <w:t>başvuru sahibinin toplam</w:t>
      </w:r>
      <w:r>
        <w:rPr>
          <w:spacing w:val="-1"/>
        </w:rPr>
        <w:t xml:space="preserve"> </w:t>
      </w:r>
      <w:r>
        <w:t>puanı</w:t>
      </w:r>
      <w:r>
        <w:rPr>
          <w:spacing w:val="1"/>
        </w:rPr>
        <w:t xml:space="preserve"> </w:t>
      </w:r>
      <w:r>
        <w:t>aşağıdaki</w:t>
      </w:r>
      <w:r>
        <w:rPr>
          <w:spacing w:val="-8"/>
        </w:rPr>
        <w:t xml:space="preserve"> </w:t>
      </w:r>
      <w:r>
        <w:t>şekilde</w:t>
      </w:r>
      <w:r>
        <w:rPr>
          <w:spacing w:val="3"/>
        </w:rPr>
        <w:t xml:space="preserve"> </w:t>
      </w:r>
      <w:r w:rsidR="00AA6D4E">
        <w:rPr>
          <w:spacing w:val="-2"/>
        </w:rPr>
        <w:t>hesaplanır;</w:t>
      </w:r>
    </w:p>
    <w:p w:rsidR="001C287B" w:rsidRDefault="001C287B">
      <w:pPr>
        <w:pStyle w:val="BodyText"/>
      </w:pPr>
    </w:p>
    <w:p w:rsidR="001C287B" w:rsidRDefault="005B69A4">
      <w:pPr>
        <w:pStyle w:val="ListParagraph"/>
        <w:numPr>
          <w:ilvl w:val="2"/>
          <w:numId w:val="1"/>
        </w:numPr>
        <w:tabs>
          <w:tab w:val="left" w:pos="721"/>
        </w:tabs>
        <w:ind w:left="721" w:hanging="359"/>
        <w:jc w:val="both"/>
        <w:rPr>
          <w:sz w:val="23"/>
        </w:rPr>
      </w:pPr>
      <w:r>
        <w:rPr>
          <w:spacing w:val="-2"/>
          <w:sz w:val="23"/>
        </w:rPr>
        <w:t>Başvuru</w:t>
      </w:r>
      <w:r>
        <w:rPr>
          <w:spacing w:val="-6"/>
          <w:sz w:val="23"/>
        </w:rPr>
        <w:t xml:space="preserve"> </w:t>
      </w:r>
      <w:r>
        <w:rPr>
          <w:spacing w:val="-2"/>
          <w:sz w:val="23"/>
        </w:rPr>
        <w:t>sahibinin</w:t>
      </w:r>
      <w:r>
        <w:rPr>
          <w:spacing w:val="4"/>
          <w:sz w:val="23"/>
        </w:rPr>
        <w:t xml:space="preserve"> </w:t>
      </w:r>
      <w:r w:rsidR="00DE7A64">
        <w:rPr>
          <w:spacing w:val="-2"/>
          <w:sz w:val="23"/>
        </w:rPr>
        <w:t>kalite sertifikası</w:t>
      </w:r>
      <w:r>
        <w:rPr>
          <w:spacing w:val="4"/>
          <w:sz w:val="23"/>
        </w:rPr>
        <w:t xml:space="preserve"> </w:t>
      </w:r>
      <w:r>
        <w:rPr>
          <w:spacing w:val="-2"/>
          <w:sz w:val="23"/>
        </w:rPr>
        <w:t>başvurusunda</w:t>
      </w:r>
      <w:r>
        <w:rPr>
          <w:spacing w:val="5"/>
          <w:sz w:val="23"/>
        </w:rPr>
        <w:t xml:space="preserve"> </w:t>
      </w:r>
      <w:r>
        <w:rPr>
          <w:spacing w:val="-2"/>
          <w:sz w:val="23"/>
        </w:rPr>
        <w:t>aldığı</w:t>
      </w:r>
      <w:r>
        <w:rPr>
          <w:spacing w:val="-1"/>
          <w:sz w:val="23"/>
        </w:rPr>
        <w:t xml:space="preserve"> </w:t>
      </w:r>
      <w:r>
        <w:rPr>
          <w:spacing w:val="-2"/>
          <w:sz w:val="23"/>
        </w:rPr>
        <w:t>değerlendirme</w:t>
      </w:r>
      <w:r>
        <w:rPr>
          <w:spacing w:val="6"/>
          <w:sz w:val="23"/>
        </w:rPr>
        <w:t xml:space="preserve"> </w:t>
      </w:r>
      <w:r>
        <w:rPr>
          <w:spacing w:val="-2"/>
          <w:sz w:val="23"/>
        </w:rPr>
        <w:t>puanının</w:t>
      </w:r>
      <w:r>
        <w:rPr>
          <w:spacing w:val="10"/>
          <w:sz w:val="23"/>
        </w:rPr>
        <w:t xml:space="preserve"> </w:t>
      </w:r>
      <w:r>
        <w:rPr>
          <w:spacing w:val="-2"/>
          <w:sz w:val="23"/>
        </w:rPr>
        <w:t>%20’si</w:t>
      </w:r>
    </w:p>
    <w:p w:rsidR="001C287B" w:rsidRDefault="005B69A4">
      <w:pPr>
        <w:pStyle w:val="ListParagraph"/>
        <w:numPr>
          <w:ilvl w:val="2"/>
          <w:numId w:val="1"/>
        </w:numPr>
        <w:tabs>
          <w:tab w:val="left" w:pos="722"/>
        </w:tabs>
        <w:spacing w:before="3" w:line="276" w:lineRule="auto"/>
        <w:ind w:right="126"/>
        <w:jc w:val="both"/>
      </w:pPr>
      <w:r>
        <w:t>Başvuranın her bir faaliyet aracılığıyla ele alacağı politika önceliklerinin sayısına dayalı olarak hesaplanan politika öncelikleri puanının %</w:t>
      </w:r>
      <w:r w:rsidR="00DE7A64">
        <w:t>10</w:t>
      </w:r>
      <w:r>
        <w:t xml:space="preserve">’u. Bu hesaplamada, faaliyetlere katılan imkânı kısıtlı gençlerin oranı dikkate alınır. Bu, programın kapsayıcı boyutunun bütçe tahsis </w:t>
      </w:r>
      <w:proofErr w:type="gramStart"/>
      <w:r>
        <w:t>kriterlerine</w:t>
      </w:r>
      <w:proofErr w:type="gramEnd"/>
      <w:r>
        <w:t xml:space="preserve"> yansıtılmasını sağlamaktadır.</w:t>
      </w:r>
    </w:p>
    <w:p w:rsidR="001C287B" w:rsidRDefault="005B69A4">
      <w:pPr>
        <w:pStyle w:val="ListParagraph"/>
        <w:numPr>
          <w:ilvl w:val="2"/>
          <w:numId w:val="1"/>
        </w:numPr>
        <w:tabs>
          <w:tab w:val="left" w:pos="722"/>
        </w:tabs>
        <w:spacing w:before="3" w:line="276" w:lineRule="auto"/>
        <w:ind w:right="124"/>
        <w:jc w:val="both"/>
      </w:pPr>
      <w:r>
        <w:t>İlerleme raporu (</w:t>
      </w:r>
      <w:r w:rsidR="00DE7A64">
        <w:t>ESC50</w:t>
      </w:r>
      <w:r>
        <w:t xml:space="preserve">) ve en son tamamlanan </w:t>
      </w:r>
      <w:r w:rsidR="00DE7A64">
        <w:t>gönüllülük</w:t>
      </w:r>
      <w:r>
        <w:t xml:space="preserve"> proje</w:t>
      </w:r>
      <w:r w:rsidR="00DE7A64">
        <w:t>sine</w:t>
      </w:r>
      <w:r>
        <w:t xml:space="preserve"> (</w:t>
      </w:r>
      <w:r w:rsidR="00DE7A64">
        <w:t>ESC</w:t>
      </w:r>
      <w:r>
        <w:t>51) ait nihai rapor değerlendirme puanlarının ortalamasının veya aritmetik ortalamasının %</w:t>
      </w:r>
      <w:r w:rsidR="00DE7A64">
        <w:t>70’</w:t>
      </w:r>
      <w:r>
        <w:t>i. İlerleme raporu veya nihai</w:t>
      </w:r>
      <w:r>
        <w:rPr>
          <w:spacing w:val="-2"/>
        </w:rPr>
        <w:t xml:space="preserve"> </w:t>
      </w:r>
      <w:r>
        <w:t>rapor</w:t>
      </w:r>
      <w:r>
        <w:rPr>
          <w:spacing w:val="-4"/>
        </w:rPr>
        <w:t xml:space="preserve"> </w:t>
      </w:r>
      <w:r>
        <w:t>mevcut</w:t>
      </w:r>
      <w:r>
        <w:rPr>
          <w:spacing w:val="-6"/>
        </w:rPr>
        <w:t xml:space="preserve"> </w:t>
      </w:r>
      <w:r>
        <w:t>değilse</w:t>
      </w:r>
      <w:r>
        <w:rPr>
          <w:spacing w:val="-7"/>
        </w:rPr>
        <w:t xml:space="preserve"> </w:t>
      </w:r>
      <w:r>
        <w:t>Ulusal</w:t>
      </w:r>
      <w:r>
        <w:rPr>
          <w:spacing w:val="-2"/>
        </w:rPr>
        <w:t xml:space="preserve"> </w:t>
      </w:r>
      <w:r>
        <w:t>Ajans</w:t>
      </w:r>
      <w:r>
        <w:rPr>
          <w:spacing w:val="-3"/>
        </w:rPr>
        <w:t xml:space="preserve"> </w:t>
      </w:r>
      <w:r>
        <w:t>başvuranın</w:t>
      </w:r>
      <w:r>
        <w:rPr>
          <w:spacing w:val="-4"/>
        </w:rPr>
        <w:t xml:space="preserve"> </w:t>
      </w:r>
      <w:r w:rsidR="00DE7A64">
        <w:t xml:space="preserve">kalite sertifikası </w:t>
      </w:r>
      <w:r>
        <w:t>başvurusunda</w:t>
      </w:r>
      <w:r>
        <w:rPr>
          <w:spacing w:val="-4"/>
        </w:rPr>
        <w:t xml:space="preserve"> </w:t>
      </w:r>
      <w:r>
        <w:t>aldığı</w:t>
      </w:r>
      <w:r>
        <w:rPr>
          <w:spacing w:val="-2"/>
        </w:rPr>
        <w:t xml:space="preserve"> </w:t>
      </w:r>
      <w:r>
        <w:t>değerlendirme puanına daha fazla ağırlık verebilir.</w:t>
      </w:r>
      <w:r w:rsidR="00DE7A64">
        <w:t xml:space="preserve"> (%90’ı)</w:t>
      </w:r>
    </w:p>
    <w:p w:rsidR="001C287B" w:rsidRDefault="005B69A4">
      <w:pPr>
        <w:pStyle w:val="Heading1"/>
        <w:numPr>
          <w:ilvl w:val="0"/>
          <w:numId w:val="1"/>
        </w:numPr>
        <w:tabs>
          <w:tab w:val="left" w:pos="428"/>
        </w:tabs>
        <w:spacing w:before="195"/>
        <w:ind w:left="428" w:hanging="301"/>
      </w:pPr>
      <w:bookmarkStart w:id="7" w:name="4._TAHSİS_EDİLEN_TOPLAM_HİBE_MİKTARI_VE_"/>
      <w:bookmarkEnd w:id="7"/>
      <w:r>
        <w:t>TAHSİS</w:t>
      </w:r>
      <w:r>
        <w:rPr>
          <w:spacing w:val="-8"/>
        </w:rPr>
        <w:t xml:space="preserve"> </w:t>
      </w:r>
      <w:r>
        <w:t>EDİLEN</w:t>
      </w:r>
      <w:r>
        <w:rPr>
          <w:spacing w:val="-5"/>
        </w:rPr>
        <w:t xml:space="preserve"> </w:t>
      </w:r>
      <w:r>
        <w:t>TOPLAM</w:t>
      </w:r>
      <w:r>
        <w:rPr>
          <w:spacing w:val="-7"/>
        </w:rPr>
        <w:t xml:space="preserve"> </w:t>
      </w:r>
      <w:r>
        <w:t>HİBE</w:t>
      </w:r>
      <w:r>
        <w:rPr>
          <w:spacing w:val="-4"/>
        </w:rPr>
        <w:t xml:space="preserve"> </w:t>
      </w:r>
      <w:r>
        <w:t>MİKTARI</w:t>
      </w:r>
      <w:r>
        <w:rPr>
          <w:spacing w:val="-7"/>
        </w:rPr>
        <w:t xml:space="preserve"> </w:t>
      </w:r>
      <w:r>
        <w:t>VE</w:t>
      </w:r>
      <w:r>
        <w:rPr>
          <w:spacing w:val="-10"/>
        </w:rPr>
        <w:t xml:space="preserve"> </w:t>
      </w:r>
      <w:r>
        <w:t>TAHSİS</w:t>
      </w:r>
      <w:r>
        <w:rPr>
          <w:spacing w:val="-10"/>
        </w:rPr>
        <w:t xml:space="preserve"> </w:t>
      </w:r>
      <w:r>
        <w:t>İÇİN</w:t>
      </w:r>
      <w:r>
        <w:rPr>
          <w:spacing w:val="-5"/>
        </w:rPr>
        <w:t xml:space="preserve"> </w:t>
      </w:r>
      <w:r>
        <w:rPr>
          <w:spacing w:val="-2"/>
        </w:rPr>
        <w:t>HEDEFLER</w:t>
      </w:r>
    </w:p>
    <w:p w:rsidR="001C287B" w:rsidRDefault="005B69A4">
      <w:pPr>
        <w:pStyle w:val="BodyText"/>
        <w:spacing w:before="277"/>
        <w:ind w:left="31" w:right="124"/>
        <w:jc w:val="both"/>
      </w:pPr>
      <w:r>
        <w:t>Her bir başvuru sahibi için tahsis edilecek toplam hibe miktarı, yukarıda sayılan tahsis aşamalarında aldıkları miktarların</w:t>
      </w:r>
      <w:r>
        <w:rPr>
          <w:spacing w:val="-4"/>
        </w:rPr>
        <w:t xml:space="preserve"> </w:t>
      </w:r>
      <w:r>
        <w:t>toplamı olacaktır.</w:t>
      </w:r>
      <w:r>
        <w:rPr>
          <w:spacing w:val="-2"/>
        </w:rPr>
        <w:t xml:space="preserve"> </w:t>
      </w:r>
      <w:r>
        <w:t>Katılımcılar için herhangi</w:t>
      </w:r>
      <w:r>
        <w:rPr>
          <w:spacing w:val="-3"/>
        </w:rPr>
        <w:t xml:space="preserve"> </w:t>
      </w:r>
      <w:r>
        <w:t>bir</w:t>
      </w:r>
      <w:r>
        <w:rPr>
          <w:spacing w:val="-3"/>
        </w:rPr>
        <w:t xml:space="preserve"> </w:t>
      </w:r>
      <w:r>
        <w:t>dâhil etme</w:t>
      </w:r>
      <w:r>
        <w:rPr>
          <w:spacing w:val="-3"/>
        </w:rPr>
        <w:t xml:space="preserve"> </w:t>
      </w:r>
      <w:r>
        <w:t>desteği</w:t>
      </w:r>
      <w:r>
        <w:rPr>
          <w:spacing w:val="-6"/>
        </w:rPr>
        <w:t xml:space="preserve"> </w:t>
      </w:r>
      <w:r>
        <w:t xml:space="preserve">ve istisnai masraf talebi Ulusal Ajans tarafından onaylanmışsa, bu miktarlar tahsis edilecek olan toplam hibe miktarına </w:t>
      </w:r>
      <w:r w:rsidR="00AA6D4E">
        <w:rPr>
          <w:spacing w:val="-2"/>
        </w:rPr>
        <w:t>eklenir.</w:t>
      </w:r>
    </w:p>
    <w:p w:rsidR="001C287B" w:rsidRDefault="001C287B">
      <w:pPr>
        <w:pStyle w:val="BodyText"/>
        <w:spacing w:before="2"/>
      </w:pPr>
    </w:p>
    <w:p w:rsidR="001C287B" w:rsidRDefault="005B69A4">
      <w:pPr>
        <w:pStyle w:val="BodyText"/>
        <w:ind w:left="31" w:right="133"/>
        <w:jc w:val="both"/>
      </w:pPr>
      <w:r>
        <w:t>Hibe sözleşmesi yapılmadan önce, Ulusal Ajans hibe dağıtımı için uygun hedefleri d</w:t>
      </w:r>
      <w:r w:rsidR="00AA6D4E">
        <w:t>ikkate alarak hesaplama yapa</w:t>
      </w:r>
      <w:r>
        <w:t xml:space="preserve">r. Başvuru sahibine, talep edilen faaliyetlerini gerçekleştirmesi için gereken bütçenin </w:t>
      </w:r>
      <w:r>
        <w:lastRenderedPageBreak/>
        <w:t xml:space="preserve">tamamı tahsis edilmişse, başvuruda talep edilen faaliyetler gerçekleştirilecektir. Verilen hibe, başvuru formunda talep edilen faaliyetlerin uygulanması için gereken bütçeden düşükse, hedeflenen faaliyetlerin gerçekleştirebilmesi amacıyla ilgili faaliyetler de tahsis edilen bütçeyle orantılı olarak </w:t>
      </w:r>
      <w:r>
        <w:rPr>
          <w:spacing w:val="-2"/>
        </w:rPr>
        <w:t>azaltılacaktır.</w:t>
      </w:r>
    </w:p>
    <w:p w:rsidR="001C287B" w:rsidRDefault="005B69A4">
      <w:pPr>
        <w:pStyle w:val="BodyText"/>
        <w:spacing w:before="280"/>
        <w:ind w:left="31" w:right="124"/>
        <w:jc w:val="both"/>
      </w:pPr>
      <w:proofErr w:type="gramStart"/>
      <w:r>
        <w:t>Ulusal</w:t>
      </w:r>
      <w:r>
        <w:rPr>
          <w:spacing w:val="-7"/>
        </w:rPr>
        <w:t xml:space="preserve"> </w:t>
      </w:r>
      <w:r>
        <w:t>Ajans,</w:t>
      </w:r>
      <w:r>
        <w:rPr>
          <w:spacing w:val="-7"/>
        </w:rPr>
        <w:t xml:space="preserve"> </w:t>
      </w:r>
      <w:r>
        <w:t>tahsis</w:t>
      </w:r>
      <w:r>
        <w:rPr>
          <w:spacing w:val="-6"/>
        </w:rPr>
        <w:t xml:space="preserve"> </w:t>
      </w:r>
      <w:r>
        <w:t>edilen</w:t>
      </w:r>
      <w:r>
        <w:rPr>
          <w:spacing w:val="-13"/>
        </w:rPr>
        <w:t xml:space="preserve"> </w:t>
      </w:r>
      <w:r>
        <w:t>bütçe</w:t>
      </w:r>
      <w:r>
        <w:rPr>
          <w:spacing w:val="-3"/>
        </w:rPr>
        <w:t xml:space="preserve"> </w:t>
      </w:r>
      <w:r>
        <w:t>ile</w:t>
      </w:r>
      <w:r>
        <w:rPr>
          <w:spacing w:val="-7"/>
        </w:rPr>
        <w:t xml:space="preserve"> </w:t>
      </w:r>
      <w:r>
        <w:t>hedeflenen</w:t>
      </w:r>
      <w:r>
        <w:rPr>
          <w:spacing w:val="-7"/>
        </w:rPr>
        <w:t xml:space="preserve"> </w:t>
      </w:r>
      <w:r>
        <w:t>faaliyetler</w:t>
      </w:r>
      <w:r>
        <w:rPr>
          <w:spacing w:val="-5"/>
        </w:rPr>
        <w:t xml:space="preserve"> </w:t>
      </w:r>
      <w:r>
        <w:t>arasında</w:t>
      </w:r>
      <w:r>
        <w:rPr>
          <w:spacing w:val="-7"/>
        </w:rPr>
        <w:t xml:space="preserve"> </w:t>
      </w:r>
      <w:r>
        <w:t>daha</w:t>
      </w:r>
      <w:r>
        <w:rPr>
          <w:spacing w:val="-3"/>
        </w:rPr>
        <w:t xml:space="preserve"> </w:t>
      </w:r>
      <w:r>
        <w:t>iyi</w:t>
      </w:r>
      <w:r>
        <w:rPr>
          <w:spacing w:val="-7"/>
        </w:rPr>
        <w:t xml:space="preserve"> </w:t>
      </w:r>
      <w:r>
        <w:t>uyum</w:t>
      </w:r>
      <w:r>
        <w:rPr>
          <w:spacing w:val="-4"/>
        </w:rPr>
        <w:t xml:space="preserve"> </w:t>
      </w:r>
      <w:r>
        <w:t>sağlamak,</w:t>
      </w:r>
      <w:r>
        <w:rPr>
          <w:spacing w:val="-6"/>
        </w:rPr>
        <w:t xml:space="preserve"> </w:t>
      </w:r>
      <w:r>
        <w:t xml:space="preserve">onaylanmış </w:t>
      </w:r>
      <w:r w:rsidR="00DE7A64">
        <w:t>Faaliyet</w:t>
      </w:r>
      <w:r>
        <w:rPr>
          <w:spacing w:val="-5"/>
        </w:rPr>
        <w:t xml:space="preserve"> </w:t>
      </w:r>
      <w:r>
        <w:t>Planı</w:t>
      </w:r>
      <w:r>
        <w:rPr>
          <w:spacing w:val="-7"/>
        </w:rPr>
        <w:t xml:space="preserve"> </w:t>
      </w:r>
      <w:r>
        <w:t>ile</w:t>
      </w:r>
      <w:r>
        <w:rPr>
          <w:spacing w:val="-12"/>
        </w:rPr>
        <w:t xml:space="preserve"> </w:t>
      </w:r>
      <w:r>
        <w:t>tutarlılığı</w:t>
      </w:r>
      <w:r>
        <w:rPr>
          <w:spacing w:val="-12"/>
        </w:rPr>
        <w:t xml:space="preserve"> </w:t>
      </w:r>
      <w:r>
        <w:t>sağlamak,</w:t>
      </w:r>
      <w:r>
        <w:rPr>
          <w:spacing w:val="-6"/>
        </w:rPr>
        <w:t xml:space="preserve"> </w:t>
      </w:r>
      <w:r>
        <w:t>öncelikli</w:t>
      </w:r>
      <w:r>
        <w:rPr>
          <w:spacing w:val="-12"/>
        </w:rPr>
        <w:t xml:space="preserve"> </w:t>
      </w:r>
      <w:r>
        <w:t>faaliyetler</w:t>
      </w:r>
      <w:r>
        <w:rPr>
          <w:spacing w:val="-6"/>
        </w:rPr>
        <w:t xml:space="preserve"> </w:t>
      </w:r>
      <w:r>
        <w:t>için</w:t>
      </w:r>
      <w:r>
        <w:rPr>
          <w:spacing w:val="-8"/>
        </w:rPr>
        <w:t xml:space="preserve"> </w:t>
      </w:r>
      <w:r>
        <w:t>yeterli</w:t>
      </w:r>
      <w:r>
        <w:rPr>
          <w:spacing w:val="-7"/>
        </w:rPr>
        <w:t xml:space="preserve"> </w:t>
      </w:r>
      <w:r>
        <w:t>desteği</w:t>
      </w:r>
      <w:r>
        <w:rPr>
          <w:spacing w:val="-11"/>
        </w:rPr>
        <w:t xml:space="preserve"> </w:t>
      </w:r>
      <w:r>
        <w:t>sağlamak</w:t>
      </w:r>
      <w:r>
        <w:rPr>
          <w:spacing w:val="-6"/>
        </w:rPr>
        <w:t xml:space="preserve"> </w:t>
      </w:r>
      <w:r>
        <w:t>ve</w:t>
      </w:r>
      <w:r>
        <w:rPr>
          <w:spacing w:val="-12"/>
        </w:rPr>
        <w:t xml:space="preserve"> </w:t>
      </w:r>
      <w:r>
        <w:t>talep</w:t>
      </w:r>
      <w:r>
        <w:rPr>
          <w:spacing w:val="-13"/>
        </w:rPr>
        <w:t xml:space="preserve"> </w:t>
      </w:r>
      <w:r>
        <w:t>edilen</w:t>
      </w:r>
      <w:r>
        <w:rPr>
          <w:spacing w:val="-7"/>
        </w:rPr>
        <w:t xml:space="preserve"> </w:t>
      </w:r>
      <w:r>
        <w:t>her bir faaliyet türünde ve kategoride en az bir katılımcının dâhil olmasını sağlamak amacıyla Program Rehberinde tanımlanan kısıtlamalara uygun bir şekilde sını</w:t>
      </w:r>
      <w:r w:rsidR="00AA6D4E">
        <w:t>rlı değişiklikler yapabilir</w:t>
      </w:r>
      <w:r>
        <w:t>.</w:t>
      </w:r>
      <w:proofErr w:type="gramEnd"/>
    </w:p>
    <w:p w:rsidR="001C287B" w:rsidRDefault="001C287B">
      <w:pPr>
        <w:pStyle w:val="BodyText"/>
        <w:spacing w:before="2"/>
      </w:pPr>
    </w:p>
    <w:p w:rsidR="001C287B" w:rsidRDefault="005B69A4" w:rsidP="00F10966">
      <w:pPr>
        <w:pStyle w:val="BodyText"/>
        <w:spacing w:before="1"/>
        <w:ind w:left="31" w:right="129"/>
        <w:jc w:val="both"/>
        <w:rPr>
          <w:sz w:val="16"/>
        </w:rPr>
      </w:pPr>
      <w:r>
        <w:t xml:space="preserve">Yararlanıcılar, onaylanmış </w:t>
      </w:r>
      <w:r w:rsidR="00DE7A64">
        <w:t xml:space="preserve">Faaliyet </w:t>
      </w:r>
      <w:r>
        <w:t>Planı kapsamında, hedeflenen faaliyetlerini geniş bir esneklikle uygulayabilecektir.</w:t>
      </w:r>
      <w:r>
        <w:rPr>
          <w:spacing w:val="-2"/>
        </w:rPr>
        <w:t xml:space="preserve"> </w:t>
      </w:r>
      <w:r>
        <w:t>Uygun görülen</w:t>
      </w:r>
      <w:r>
        <w:rPr>
          <w:spacing w:val="-4"/>
        </w:rPr>
        <w:t xml:space="preserve"> </w:t>
      </w:r>
      <w:r>
        <w:t>faaliyetler ve hedefler için</w:t>
      </w:r>
      <w:r>
        <w:rPr>
          <w:spacing w:val="-5"/>
        </w:rPr>
        <w:t xml:space="preserve"> </w:t>
      </w:r>
      <w:r>
        <w:t>yapılan</w:t>
      </w:r>
      <w:r>
        <w:rPr>
          <w:spacing w:val="-5"/>
        </w:rPr>
        <w:t xml:space="preserve"> </w:t>
      </w:r>
      <w:r>
        <w:t>çalışmalar nihai</w:t>
      </w:r>
      <w:r>
        <w:rPr>
          <w:spacing w:val="-4"/>
        </w:rPr>
        <w:t xml:space="preserve"> </w:t>
      </w:r>
      <w:r>
        <w:t>rapor aşamasında</w:t>
      </w:r>
      <w:r w:rsidR="00DE7A64">
        <w:t xml:space="preserve"> değerlendirilecektir.</w:t>
      </w:r>
      <w:bookmarkStart w:id="8" w:name="_GoBack"/>
      <w:bookmarkEnd w:id="8"/>
    </w:p>
    <w:sectPr w:rsidR="001C287B">
      <w:pgSz w:w="11920" w:h="16850"/>
      <w:pgMar w:top="1940" w:right="850" w:bottom="2040" w:left="1275" w:header="0" w:footer="18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39B" w:rsidRDefault="0051039B">
      <w:r>
        <w:separator/>
      </w:r>
    </w:p>
  </w:endnote>
  <w:endnote w:type="continuationSeparator" w:id="0">
    <w:p w:rsidR="0051039B" w:rsidRDefault="0051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87B" w:rsidRDefault="005B69A4">
    <w:pPr>
      <w:pStyle w:val="BodyText"/>
      <w:spacing w:line="14" w:lineRule="auto"/>
      <w:rPr>
        <w:sz w:val="20"/>
      </w:rPr>
    </w:pPr>
    <w:r>
      <w:rPr>
        <w:noProof/>
        <w:sz w:val="20"/>
        <w:lang w:val="en-US"/>
      </w:rPr>
      <mc:AlternateContent>
        <mc:Choice Requires="wps">
          <w:drawing>
            <wp:anchor distT="0" distB="0" distL="0" distR="0" simplePos="0" relativeHeight="487520256" behindDoc="1" locked="0" layoutInCell="1" allowOverlap="1">
              <wp:simplePos x="0" y="0"/>
              <wp:positionH relativeFrom="page">
                <wp:posOffset>3718559</wp:posOffset>
              </wp:positionH>
              <wp:positionV relativeFrom="page">
                <wp:posOffset>9390075</wp:posOffset>
              </wp:positionV>
              <wp:extent cx="151130" cy="1473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47320"/>
                      </a:xfrm>
                      <a:prstGeom prst="rect">
                        <a:avLst/>
                      </a:prstGeom>
                    </wps:spPr>
                    <wps:txbx>
                      <w:txbxContent>
                        <w:p w:rsidR="001C287B" w:rsidRDefault="005B69A4">
                          <w:pPr>
                            <w:spacing w:line="215" w:lineRule="exact"/>
                            <w:ind w:left="60"/>
                            <w:rPr>
                              <w:sz w:val="19"/>
                            </w:rPr>
                          </w:pPr>
                          <w:r>
                            <w:rPr>
                              <w:spacing w:val="-10"/>
                              <w:sz w:val="19"/>
                            </w:rPr>
                            <w:fldChar w:fldCharType="begin"/>
                          </w:r>
                          <w:r>
                            <w:rPr>
                              <w:spacing w:val="-10"/>
                              <w:sz w:val="19"/>
                            </w:rPr>
                            <w:instrText xml:space="preserve"> PAGE </w:instrText>
                          </w:r>
                          <w:r>
                            <w:rPr>
                              <w:spacing w:val="-10"/>
                              <w:sz w:val="19"/>
                            </w:rPr>
                            <w:fldChar w:fldCharType="separate"/>
                          </w:r>
                          <w:r w:rsidR="00AA6D4E">
                            <w:rPr>
                              <w:noProof/>
                              <w:spacing w:val="-10"/>
                              <w:sz w:val="19"/>
                            </w:rPr>
                            <w:t>4</w:t>
                          </w:r>
                          <w:r>
                            <w:rPr>
                              <w:spacing w:val="-10"/>
                              <w:sz w:val="19"/>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8pt;margin-top:739.4pt;width:11.9pt;height:11.6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" filled="f" stroked="f">
              <v:path arrowok="t"/>
              <v:textbox inset="0,0,0,0">
                <w:txbxContent>
                  <w:p w:rsidR="001C287B" w:rsidRDefault="005B69A4">
                    <w:pPr>
                      <w:spacing w:line="215" w:lineRule="exact"/>
                      <w:ind w:left="60"/>
                      <w:rPr>
                        <w:sz w:val="19"/>
                      </w:rPr>
                    </w:pPr>
                    <w:r>
                      <w:rPr>
                        <w:spacing w:val="-10"/>
                        <w:sz w:val="19"/>
                      </w:rPr>
                      <w:fldChar w:fldCharType="begin"/>
                    </w:r>
                    <w:r>
                      <w:rPr>
                        <w:spacing w:val="-10"/>
                        <w:sz w:val="19"/>
                      </w:rPr>
                      <w:instrText xml:space="preserve"> PAGE </w:instrText>
                    </w:r>
                    <w:r>
                      <w:rPr>
                        <w:spacing w:val="-10"/>
                        <w:sz w:val="19"/>
                      </w:rPr>
                      <w:fldChar w:fldCharType="separate"/>
                    </w:r>
                    <w:r w:rsidR="00AA6D4E">
                      <w:rPr>
                        <w:noProof/>
                        <w:spacing w:val="-10"/>
                        <w:sz w:val="19"/>
                      </w:rPr>
                      <w:t>4</w:t>
                    </w:r>
                    <w:r>
                      <w:rPr>
                        <w:spacing w:val="-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39B" w:rsidRDefault="0051039B">
      <w:r>
        <w:separator/>
      </w:r>
    </w:p>
  </w:footnote>
  <w:footnote w:type="continuationSeparator" w:id="0">
    <w:p w:rsidR="0051039B" w:rsidRDefault="00510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35C31"/>
    <w:multiLevelType w:val="hybridMultilevel"/>
    <w:tmpl w:val="0944B2A0"/>
    <w:lvl w:ilvl="0" w:tplc="687A8020">
      <w:start w:val="1"/>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687A8020">
      <w:start w:val="1"/>
      <w:numFmt w:val="bullet"/>
      <w:lvlText w:val="-"/>
      <w:lvlJc w:val="left"/>
      <w:pPr>
        <w:ind w:left="2160" w:hanging="360"/>
      </w:pPr>
      <w:rPr>
        <w:rFonts w:ascii="Verdana" w:eastAsia="Times New Roman" w:hAnsi="Verdana" w:cs="Times New Roman"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490D27"/>
    <w:multiLevelType w:val="multilevel"/>
    <w:tmpl w:val="8F0C229E"/>
    <w:lvl w:ilvl="0">
      <w:start w:val="1"/>
      <w:numFmt w:val="decimal"/>
      <w:lvlText w:val="%1."/>
      <w:lvlJc w:val="left"/>
      <w:pPr>
        <w:ind w:left="429" w:hanging="303"/>
      </w:pPr>
      <w:rPr>
        <w:rFonts w:ascii="Calibri" w:eastAsia="Calibri" w:hAnsi="Calibri" w:cs="Calibri" w:hint="default"/>
        <w:b/>
        <w:bCs/>
        <w:i w:val="0"/>
        <w:iCs w:val="0"/>
        <w:spacing w:val="-2"/>
        <w:w w:val="100"/>
        <w:sz w:val="23"/>
        <w:szCs w:val="23"/>
        <w:lang w:val="tr-TR" w:eastAsia="en-US" w:bidi="ar-SA"/>
      </w:rPr>
    </w:lvl>
    <w:lvl w:ilvl="1">
      <w:start w:val="1"/>
      <w:numFmt w:val="decimal"/>
      <w:lvlText w:val="%1.%2."/>
      <w:lvlJc w:val="left"/>
      <w:pPr>
        <w:ind w:left="535" w:hanging="409"/>
      </w:pPr>
      <w:rPr>
        <w:rFonts w:ascii="Calibri" w:eastAsia="Calibri" w:hAnsi="Calibri" w:cs="Calibri" w:hint="default"/>
        <w:b/>
        <w:bCs/>
        <w:i w:val="0"/>
        <w:iCs w:val="0"/>
        <w:spacing w:val="-7"/>
        <w:w w:val="100"/>
        <w:sz w:val="23"/>
        <w:szCs w:val="23"/>
        <w:lang w:val="tr-TR" w:eastAsia="en-US" w:bidi="ar-SA"/>
      </w:rPr>
    </w:lvl>
    <w:lvl w:ilvl="2">
      <w:numFmt w:val="bullet"/>
      <w:lvlText w:val="-"/>
      <w:lvlJc w:val="left"/>
      <w:pPr>
        <w:ind w:left="722" w:hanging="361"/>
      </w:pPr>
      <w:rPr>
        <w:rFonts w:ascii="Calibri" w:eastAsia="Calibri" w:hAnsi="Calibri" w:cs="Calibri" w:hint="default"/>
        <w:spacing w:val="0"/>
        <w:w w:val="100"/>
        <w:lang w:val="tr-TR" w:eastAsia="en-US" w:bidi="ar-SA"/>
      </w:rPr>
    </w:lvl>
    <w:lvl w:ilvl="3">
      <w:numFmt w:val="bullet"/>
      <w:lvlText w:val="•"/>
      <w:lvlJc w:val="left"/>
      <w:pPr>
        <w:ind w:left="1854" w:hanging="361"/>
      </w:pPr>
      <w:rPr>
        <w:rFonts w:hint="default"/>
        <w:lang w:val="tr-TR" w:eastAsia="en-US" w:bidi="ar-SA"/>
      </w:rPr>
    </w:lvl>
    <w:lvl w:ilvl="4">
      <w:numFmt w:val="bullet"/>
      <w:lvlText w:val="•"/>
      <w:lvlJc w:val="left"/>
      <w:pPr>
        <w:ind w:left="2988" w:hanging="361"/>
      </w:pPr>
      <w:rPr>
        <w:rFonts w:hint="default"/>
        <w:lang w:val="tr-TR" w:eastAsia="en-US" w:bidi="ar-SA"/>
      </w:rPr>
    </w:lvl>
    <w:lvl w:ilvl="5">
      <w:numFmt w:val="bullet"/>
      <w:lvlText w:val="•"/>
      <w:lvlJc w:val="left"/>
      <w:pPr>
        <w:ind w:left="4122" w:hanging="361"/>
      </w:pPr>
      <w:rPr>
        <w:rFonts w:hint="default"/>
        <w:lang w:val="tr-TR" w:eastAsia="en-US" w:bidi="ar-SA"/>
      </w:rPr>
    </w:lvl>
    <w:lvl w:ilvl="6">
      <w:numFmt w:val="bullet"/>
      <w:lvlText w:val="•"/>
      <w:lvlJc w:val="left"/>
      <w:pPr>
        <w:ind w:left="5256" w:hanging="361"/>
      </w:pPr>
      <w:rPr>
        <w:rFonts w:hint="default"/>
        <w:lang w:val="tr-TR" w:eastAsia="en-US" w:bidi="ar-SA"/>
      </w:rPr>
    </w:lvl>
    <w:lvl w:ilvl="7">
      <w:numFmt w:val="bullet"/>
      <w:lvlText w:val="•"/>
      <w:lvlJc w:val="left"/>
      <w:pPr>
        <w:ind w:left="6390" w:hanging="361"/>
      </w:pPr>
      <w:rPr>
        <w:rFonts w:hint="default"/>
        <w:lang w:val="tr-TR" w:eastAsia="en-US" w:bidi="ar-SA"/>
      </w:rPr>
    </w:lvl>
    <w:lvl w:ilvl="8">
      <w:numFmt w:val="bullet"/>
      <w:lvlText w:val="•"/>
      <w:lvlJc w:val="left"/>
      <w:pPr>
        <w:ind w:left="7525" w:hanging="361"/>
      </w:pPr>
      <w:rPr>
        <w:rFonts w:hint="default"/>
        <w:lang w:val="tr-TR" w:eastAsia="en-US" w:bidi="ar-SA"/>
      </w:rPr>
    </w:lvl>
  </w:abstractNum>
  <w:abstractNum w:abstractNumId="2" w15:restartNumberingAfterBreak="0">
    <w:nsid w:val="5B395C83"/>
    <w:multiLevelType w:val="hybridMultilevel"/>
    <w:tmpl w:val="B7408AAE"/>
    <w:lvl w:ilvl="0" w:tplc="687A8020">
      <w:start w:val="1"/>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4604E2F"/>
    <w:multiLevelType w:val="hybridMultilevel"/>
    <w:tmpl w:val="6106879C"/>
    <w:lvl w:ilvl="0" w:tplc="687A8020">
      <w:start w:val="1"/>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7B"/>
    <w:rsid w:val="001C287B"/>
    <w:rsid w:val="002059DB"/>
    <w:rsid w:val="00290332"/>
    <w:rsid w:val="00402C4B"/>
    <w:rsid w:val="0051039B"/>
    <w:rsid w:val="005B69A4"/>
    <w:rsid w:val="006056CB"/>
    <w:rsid w:val="0063000E"/>
    <w:rsid w:val="00701DF3"/>
    <w:rsid w:val="00795789"/>
    <w:rsid w:val="0091312B"/>
    <w:rsid w:val="009C44A9"/>
    <w:rsid w:val="00AA6D4E"/>
    <w:rsid w:val="00BC059A"/>
    <w:rsid w:val="00DE7A64"/>
    <w:rsid w:val="00E5794F"/>
    <w:rsid w:val="00F10966"/>
    <w:rsid w:val="00F67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65C4"/>
  <w15:docId w15:val="{203D80A3-1C9A-4B2E-BA09-7490600B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Heading1">
    <w:name w:val="heading 1"/>
    <w:basedOn w:val="Normal"/>
    <w:uiPriority w:val="1"/>
    <w:qFormat/>
    <w:pPr>
      <w:ind w:left="428" w:hanging="301"/>
      <w:outlineLvl w:val="0"/>
    </w:pPr>
    <w:rPr>
      <w:b/>
      <w:bCs/>
      <w:sz w:val="23"/>
      <w:szCs w:val="23"/>
    </w:rPr>
  </w:style>
  <w:style w:type="paragraph" w:styleId="Heading2">
    <w:name w:val="heading 2"/>
    <w:basedOn w:val="Normal"/>
    <w:uiPriority w:val="1"/>
    <w:qFormat/>
    <w:pPr>
      <w:ind w:left="533" w:hanging="40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533" w:hanging="406"/>
    </w:pPr>
  </w:style>
  <w:style w:type="paragraph" w:customStyle="1" w:styleId="TableParagraph">
    <w:name w:val="Table Paragraph"/>
    <w:basedOn w:val="Normal"/>
    <w:uiPriority w:val="1"/>
    <w:qFormat/>
    <w:pPr>
      <w:spacing w:before="6"/>
      <w:ind w:left="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23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- 2025 Okul E˜itim Alan1nda Erasmus Akreditasyonuna Sahip Kurulu_lara Hibe Tahsis Edilmesine 0li_kin Kurallar (003).docx</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Okul E˜itim Alan1nda Erasmus Akreditasyonuna Sahip Kurulu_lara Hibe Tahsis Edilmesine 0li_kin Kurallar (003).docx</dc:title>
  <dc:creator>Sevim Denk</dc:creator>
  <cp:lastModifiedBy>Emirhan Aslan</cp:lastModifiedBy>
  <cp:revision>2</cp:revision>
  <dcterms:created xsi:type="dcterms:W3CDTF">2026-02-03T15:37:00Z</dcterms:created>
  <dcterms:modified xsi:type="dcterms:W3CDTF">2026-02-03T15:37:00Z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Microsoft® Word 2016</vt:lpwstr>
  </property>
  <property fmtid="{D5CDD505-2E9C-101B-9397-08002B2CF9AE}" pid="4" name="LastSaved">
    <vt:filetime>2026-01-26T00:00:00Z</vt:filetime>
  </property>
  <property fmtid="{D5CDD505-2E9C-101B-9397-08002B2CF9AE}" pid="5" name="Producer">
    <vt:lpwstr>www.ilovepdf.com</vt:lpwstr>
  </property>
</Properties>
</file>